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24460241"/>
        <w:docPartObj>
          <w:docPartGallery w:val="Cover Pages"/>
          <w:docPartUnique/>
        </w:docPartObj>
      </w:sdtPr>
      <w:sdtContent>
        <w:p w:rsidR="009460E8" w:rsidRDefault="004B77A9">
          <w:r w:rsidRPr="004B77A9">
            <w:rPr>
              <w:noProof/>
            </w:rPr>
            <w:pict>
              <v:group id="Group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bedcc3" strokecolor="#bedcc3" strokeweight="2pt"/>
                <v:rect id="Rectangle 195" o:spid="_x0000_s1028" style="position:absolute;top:40943;width:68580;height:5029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bedcc3" strokecolor="#bedcc3" strokeweight="2pt">
                  <v:textbox style="mso-next-textbox:#Rectangle 195" inset="36pt,57.6pt,36pt,36pt">
                    <w:txbxContent>
                      <w:p w:rsidR="009460E8" w:rsidRDefault="009460E8">
                        <w:pPr>
                          <w:pStyle w:val="NoSpacing"/>
                          <w:spacing w:before="120"/>
                          <w:jc w:val="center"/>
                          <w:rPr>
                            <w:color w:val="FFFFFF" w:themeColor="background1"/>
                          </w:rPr>
                        </w:pPr>
                        <w:r>
                          <w:rPr>
                            <w:color w:val="FFFFFF" w:themeColor="background1"/>
                          </w:rPr>
                          <w:t>Jennifer Attrill – Freelance Solicitor</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bedcc3" strokecolor="#bedcc3" strokeweight=".5pt">
                  <v:textbox style="mso-next-textbox:#Text Box 196" inset="36pt,7.2pt,36pt,7.2pt">
                    <w:txbxContent>
                      <w:sdt>
                        <w:sdtPr>
                          <w:rPr>
                            <w:rFonts w:asciiTheme="majorHAnsi" w:eastAsiaTheme="majorEastAsia" w:hAnsiTheme="majorHAnsi" w:cstheme="majorBidi"/>
                            <w:cap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9460E8" w:rsidRPr="00CF1530" w:rsidRDefault="009460E8">
                            <w:pPr>
                              <w:pStyle w:val="NoSpacing"/>
                              <w:jc w:val="center"/>
                              <w:rPr>
                                <w:rFonts w:asciiTheme="majorHAnsi" w:eastAsiaTheme="majorEastAsia" w:hAnsiTheme="majorHAnsi" w:cstheme="majorBidi"/>
                                <w:caps/>
                                <w:sz w:val="72"/>
                                <w:szCs w:val="72"/>
                              </w:rPr>
                            </w:pPr>
                            <w:r w:rsidRPr="00CF1530">
                              <w:rPr>
                                <w:rFonts w:asciiTheme="majorHAnsi" w:eastAsiaTheme="majorEastAsia" w:hAnsiTheme="majorHAnsi" w:cstheme="majorBidi"/>
                                <w:caps/>
                                <w:sz w:val="72"/>
                                <w:szCs w:val="72"/>
                              </w:rPr>
                              <w:t>Cookie policy</w:t>
                            </w:r>
                          </w:p>
                        </w:sdtContent>
                      </w:sdt>
                    </w:txbxContent>
                  </v:textbox>
                </v:shape>
                <w10:wrap anchorx="page" anchory="page"/>
              </v:group>
            </w:pict>
          </w:r>
        </w:p>
        <w:p w:rsidR="009460E8" w:rsidRDefault="00CF1530">
          <w:pPr>
            <w:spacing w:line="24" w:lineRule="auto"/>
            <w:rPr>
              <w:rFonts w:eastAsia="Arial Unicode MS"/>
              <w:szCs w:val="20"/>
              <w:lang w:eastAsia="en-US"/>
            </w:rPr>
          </w:pPr>
          <w:r>
            <w:rPr>
              <w:noProof/>
              <w:lang w:val="en-US" w:eastAsia="en-US"/>
            </w:rPr>
            <w:drawing>
              <wp:anchor distT="0" distB="0" distL="114300" distR="114300" simplePos="0" relativeHeight="251660288" behindDoc="0" locked="0" layoutInCell="1" allowOverlap="1">
                <wp:simplePos x="0" y="0"/>
                <wp:positionH relativeFrom="column">
                  <wp:posOffset>3028950</wp:posOffset>
                </wp:positionH>
                <wp:positionV relativeFrom="paragraph">
                  <wp:posOffset>8418195</wp:posOffset>
                </wp:positionV>
                <wp:extent cx="530225" cy="342900"/>
                <wp:effectExtent l="19050" t="0" r="3175" b="0"/>
                <wp:wrapNone/>
                <wp:docPr id="1" name="Picture 0" descr="Logo - 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grey.png"/>
                        <pic:cNvPicPr/>
                      </pic:nvPicPr>
                      <pic:blipFill>
                        <a:blip r:embed="rId11" cstate="print">
                          <a:lum bright="70000" contrast="-70000"/>
                        </a:blip>
                        <a:stretch>
                          <a:fillRect/>
                        </a:stretch>
                      </pic:blipFill>
                      <pic:spPr>
                        <a:xfrm>
                          <a:off x="0" y="0"/>
                          <a:ext cx="530225" cy="342900"/>
                        </a:xfrm>
                        <a:prstGeom prst="rect">
                          <a:avLst/>
                        </a:prstGeom>
                      </pic:spPr>
                    </pic:pic>
                  </a:graphicData>
                </a:graphic>
              </wp:anchor>
            </w:drawing>
          </w:r>
          <w:r w:rsidR="009460E8">
            <w:br w:type="page"/>
          </w:r>
        </w:p>
      </w:sdtContent>
    </w:sdt>
    <w:p w:rsidR="004B77A9" w:rsidRDefault="00BF0F6A" w:rsidP="00AC4384">
      <w:pPr>
        <w:pStyle w:val="NoNumUntitledClause"/>
        <w:ind w:left="0"/>
        <w:jc w:val="left"/>
        <w:rPr>
          <w:lang w:val="en-US"/>
        </w:rPr>
      </w:pPr>
      <w:bookmarkStart w:id="0" w:name="a674694"/>
      <w:r>
        <w:rPr>
          <w:lang w:val="en-US"/>
        </w:rPr>
        <w:lastRenderedPageBreak/>
        <w:t xml:space="preserve">My website </w:t>
      </w:r>
      <w:r w:rsidR="00DA7919">
        <w:rPr>
          <w:lang w:val="en-US"/>
        </w:rPr>
        <w:t>uses</w:t>
      </w:r>
      <w:r>
        <w:rPr>
          <w:lang w:val="en-US"/>
        </w:rPr>
        <w:t xml:space="preserve"> cookies to distinguish you from other </w:t>
      </w:r>
      <w:r w:rsidR="00DA7919">
        <w:rPr>
          <w:lang w:val="en-US"/>
        </w:rPr>
        <w:t>users</w:t>
      </w:r>
      <w:r>
        <w:rPr>
          <w:lang w:val="en-US"/>
        </w:rPr>
        <w:t xml:space="preserve"> of my website. This helps </w:t>
      </w:r>
      <w:r w:rsidR="00DA7919">
        <w:rPr>
          <w:lang w:val="en-US"/>
        </w:rPr>
        <w:t>me</w:t>
      </w:r>
      <w:r>
        <w:rPr>
          <w:lang w:val="en-US"/>
        </w:rPr>
        <w:t xml:space="preserve"> to provide you with a good experience when you browse my website and also allows </w:t>
      </w:r>
      <w:r w:rsidR="00DA7919">
        <w:rPr>
          <w:lang w:val="en-US"/>
        </w:rPr>
        <w:t>me</w:t>
      </w:r>
      <w:r>
        <w:rPr>
          <w:lang w:val="en-US"/>
        </w:rPr>
        <w:t xml:space="preserve"> to improve my site.</w:t>
      </w:r>
      <w:bookmarkEnd w:id="0"/>
    </w:p>
    <w:p w:rsidR="004B77A9" w:rsidRDefault="00F45C71" w:rsidP="00AC4384">
      <w:pPr>
        <w:pStyle w:val="NoNumUntitledClause"/>
        <w:jc w:val="left"/>
      </w:pPr>
      <w:bookmarkStart w:id="1" w:name="a766330"/>
      <w:r>
        <w:t xml:space="preserve">A cookie is a small file of letters and numbers that </w:t>
      </w:r>
      <w:r w:rsidR="00417DF6">
        <w:t>I</w:t>
      </w:r>
      <w:r>
        <w:t xml:space="preserve"> store on y</w:t>
      </w:r>
      <w:r w:rsidR="00417DF6">
        <w:t>our</w:t>
      </w:r>
      <w:r>
        <w:t xml:space="preserve"> browser or the hard drive of y</w:t>
      </w:r>
      <w:r w:rsidR="00417DF6">
        <w:t>our</w:t>
      </w:r>
      <w:r>
        <w:t xml:space="preserve"> computer if you agree. Cookies contain information that is transferred to y</w:t>
      </w:r>
      <w:r w:rsidR="00417DF6">
        <w:t>our</w:t>
      </w:r>
      <w:r>
        <w:t xml:space="preserve"> computer's hard drive.</w:t>
      </w:r>
      <w:bookmarkEnd w:id="1"/>
    </w:p>
    <w:p w:rsidR="004B77A9" w:rsidRPr="002B0FF9" w:rsidRDefault="00F45C71" w:rsidP="00AC4384">
      <w:pPr>
        <w:pStyle w:val="NoNumUntitledClause"/>
        <w:jc w:val="left"/>
      </w:pPr>
      <w:bookmarkStart w:id="2" w:name="a762197"/>
      <w:r>
        <w:t xml:space="preserve">We </w:t>
      </w:r>
      <w:r w:rsidR="000A44D4">
        <w:t>use</w:t>
      </w:r>
      <w:r>
        <w:t xml:space="preserve"> the following cookies:</w:t>
      </w:r>
      <w:bookmarkEnd w:id="2"/>
    </w:p>
    <w:p w:rsidR="004B77A9" w:rsidRPr="002B0FF9" w:rsidRDefault="00F45C71" w:rsidP="00AC4384">
      <w:pPr>
        <w:pStyle w:val="ClauseBullet1"/>
        <w:jc w:val="left"/>
      </w:pPr>
      <w:r>
        <w:rPr>
          <w:b/>
          <w:bCs/>
        </w:rPr>
        <w:t xml:space="preserve">Strictly </w:t>
      </w:r>
      <w:r>
        <w:rPr>
          <w:b/>
          <w:bCs/>
        </w:rPr>
        <w:t>necessary cookies.</w:t>
      </w:r>
      <w:r>
        <w:t xml:space="preserve"> These are cookies that are required for the operation of </w:t>
      </w:r>
      <w:r w:rsidR="00BF0F6A">
        <w:t>my</w:t>
      </w:r>
      <w:r>
        <w:t xml:space="preserve"> website. These essential cookies are always enabled beca</w:t>
      </w:r>
      <w:r w:rsidR="000A44D4">
        <w:t>use</w:t>
      </w:r>
      <w:r w:rsidR="00BF0F6A">
        <w:t>my</w:t>
      </w:r>
      <w:r>
        <w:t xml:space="preserve"> website won’t work properly without them. You can switch off these cookies in y</w:t>
      </w:r>
      <w:r w:rsidR="00CE73E7">
        <w:t>our</w:t>
      </w:r>
      <w:r>
        <w:t xml:space="preserve"> browser settings but you may the</w:t>
      </w:r>
      <w:r>
        <w:t xml:space="preserve">n not be able to access all or parts of </w:t>
      </w:r>
      <w:r w:rsidR="00BF0F6A">
        <w:t>my</w:t>
      </w:r>
      <w:r>
        <w:t xml:space="preserve"> website.   </w:t>
      </w:r>
    </w:p>
    <w:p w:rsidR="004B77A9" w:rsidRPr="002B0FF9" w:rsidRDefault="00F45C71" w:rsidP="00AC4384">
      <w:pPr>
        <w:pStyle w:val="ClauseBullet1"/>
        <w:jc w:val="left"/>
      </w:pPr>
      <w:r>
        <w:rPr>
          <w:b/>
          <w:bCs/>
        </w:rPr>
        <w:t>Analytical or performance cookies.</w:t>
      </w:r>
      <w:r>
        <w:t xml:space="preserve"> These allow </w:t>
      </w:r>
      <w:r w:rsidR="00DA7919">
        <w:t>me</w:t>
      </w:r>
      <w:r>
        <w:t xml:space="preserve"> to recognise and count the number of visitors and to see how visitors move around </w:t>
      </w:r>
      <w:r w:rsidR="00BF0F6A">
        <w:t>my</w:t>
      </w:r>
      <w:r>
        <w:t xml:space="preserve"> website when they are </w:t>
      </w:r>
      <w:r w:rsidR="00CE73E7">
        <w:t>us</w:t>
      </w:r>
      <w:r>
        <w:t xml:space="preserve">ing it. This helps </w:t>
      </w:r>
      <w:r w:rsidR="00DA7919">
        <w:t>me</w:t>
      </w:r>
      <w:r>
        <w:t xml:space="preserve"> to improve the way </w:t>
      </w:r>
      <w:r w:rsidR="00BF0F6A">
        <w:t>my</w:t>
      </w:r>
      <w:r>
        <w:t xml:space="preserve"> website works, for example, by ensuring that </w:t>
      </w:r>
      <w:r w:rsidR="00CE73E7">
        <w:t>us</w:t>
      </w:r>
      <w:r>
        <w:t>ers are finding what they are looking for easily.</w:t>
      </w:r>
    </w:p>
    <w:p w:rsidR="004B77A9" w:rsidRPr="002B0FF9" w:rsidRDefault="00F45C71" w:rsidP="00AC4384">
      <w:pPr>
        <w:pStyle w:val="ClauseBullet1"/>
        <w:jc w:val="left"/>
      </w:pPr>
      <w:r>
        <w:rPr>
          <w:b/>
          <w:bCs/>
        </w:rPr>
        <w:t>Functionality cookies.</w:t>
      </w:r>
      <w:r>
        <w:t xml:space="preserve"> These are </w:t>
      </w:r>
      <w:r w:rsidR="00CE73E7">
        <w:t>us</w:t>
      </w:r>
      <w:r>
        <w:t xml:space="preserve">ed to recognise you when you return to </w:t>
      </w:r>
      <w:r w:rsidR="00BF0F6A">
        <w:t>my</w:t>
      </w:r>
      <w:r>
        <w:t xml:space="preserve"> website. This enables </w:t>
      </w:r>
      <w:r w:rsidR="00DA7919">
        <w:t>me</w:t>
      </w:r>
      <w:r>
        <w:t xml:space="preserve"> to personalise </w:t>
      </w:r>
      <w:r w:rsidR="00BF0F6A">
        <w:t>my</w:t>
      </w:r>
      <w:r>
        <w:t xml:space="preserve"> content for you</w:t>
      </w:r>
      <w:r w:rsidR="00CE73E7">
        <w:t>.</w:t>
      </w:r>
    </w:p>
    <w:p w:rsidR="0054418D" w:rsidRDefault="00F45C71" w:rsidP="00AC4384">
      <w:pPr>
        <w:pStyle w:val="ClauseBullet1"/>
        <w:jc w:val="left"/>
      </w:pPr>
      <w:r w:rsidRPr="0054418D">
        <w:rPr>
          <w:b/>
          <w:bCs/>
        </w:rPr>
        <w:t>Targeting cookies.</w:t>
      </w:r>
      <w:r>
        <w:t xml:space="preserve"> T</w:t>
      </w:r>
      <w:r>
        <w:t>hese cookies record y</w:t>
      </w:r>
      <w:r w:rsidR="0054418D">
        <w:t>our</w:t>
      </w:r>
      <w:r>
        <w:t xml:space="preserve"> visit to </w:t>
      </w:r>
      <w:r w:rsidR="00BF0F6A">
        <w:t>my</w:t>
      </w:r>
      <w:r>
        <w:t xml:space="preserve"> website, the pages you have visited and the links you have followed. We will </w:t>
      </w:r>
      <w:r w:rsidR="0054418D">
        <w:t>us</w:t>
      </w:r>
      <w:r>
        <w:t xml:space="preserve">e this information to make </w:t>
      </w:r>
      <w:r w:rsidR="00BF0F6A">
        <w:t>my</w:t>
      </w:r>
      <w:r>
        <w:t xml:space="preserve"> website and the advertising displayed on it more relevant to y</w:t>
      </w:r>
      <w:r w:rsidR="0054418D">
        <w:t>our</w:t>
      </w:r>
      <w:r>
        <w:t xml:space="preserve"> interests. </w:t>
      </w:r>
      <w:bookmarkStart w:id="3" w:name="a359900"/>
    </w:p>
    <w:bookmarkEnd w:id="3"/>
    <w:p w:rsidR="00005529" w:rsidRDefault="00005529" w:rsidP="00AC4384">
      <w:pPr>
        <w:pStyle w:val="ParaClause"/>
        <w:jc w:val="left"/>
      </w:pPr>
    </w:p>
    <w:p w:rsidR="004B77A9" w:rsidRPr="008D36AC" w:rsidRDefault="00F45C71" w:rsidP="00AC4384">
      <w:pPr>
        <w:pStyle w:val="ParaClause"/>
        <w:jc w:val="left"/>
      </w:pPr>
      <w:r>
        <w:t>We do not share the information</w:t>
      </w:r>
      <w:r>
        <w:t xml:space="preserve"> collected by the cookies with any third parties.</w:t>
      </w:r>
    </w:p>
    <w:p w:rsidR="004B77A9" w:rsidRDefault="00F45C71" w:rsidP="00AC4384">
      <w:pPr>
        <w:pStyle w:val="NoNumUntitledClause"/>
        <w:jc w:val="left"/>
      </w:pPr>
      <w:bookmarkStart w:id="4" w:name="a883989"/>
      <w:r>
        <w:t>You can choose which analytical, functionality and targeting cookies we can set by clicking on the button(s):</w:t>
      </w:r>
      <w:bookmarkEnd w:id="4"/>
    </w:p>
    <w:p w:rsidR="004B77A9" w:rsidRDefault="00F45C71" w:rsidP="00AC4384">
      <w:pPr>
        <w:pStyle w:val="NoNumUntitledClause"/>
        <w:jc w:val="left"/>
        <w:rPr>
          <w:b/>
          <w:bCs/>
        </w:rPr>
      </w:pPr>
      <w:bookmarkStart w:id="5" w:name="a734381"/>
      <w:r>
        <w:t xml:space="preserve">Strictly necessary cookies    </w:t>
      </w:r>
      <w:r>
        <w:rPr>
          <w:b/>
          <w:bCs/>
        </w:rPr>
        <w:t>ALWAYS ACTIVE</w:t>
      </w:r>
      <w:bookmarkEnd w:id="5"/>
    </w:p>
    <w:p w:rsidR="004B77A9" w:rsidRDefault="00F45C71" w:rsidP="00AC4384">
      <w:pPr>
        <w:pStyle w:val="NoNumUntitledClause"/>
        <w:jc w:val="left"/>
      </w:pPr>
      <w:bookmarkStart w:id="6" w:name="a150350"/>
      <w:r>
        <w:t xml:space="preserve">Analytical or performance cookies    </w:t>
      </w:r>
      <w:r>
        <w:rPr>
          <w:b/>
          <w:bCs/>
        </w:rPr>
        <w:t>OFF</w:t>
      </w:r>
      <w:bookmarkEnd w:id="6"/>
    </w:p>
    <w:p w:rsidR="004B77A9" w:rsidRDefault="00F45C71" w:rsidP="00AC4384">
      <w:pPr>
        <w:pStyle w:val="NoNumUntitledClause"/>
        <w:jc w:val="left"/>
      </w:pPr>
      <w:bookmarkStart w:id="7" w:name="a579688"/>
      <w:r>
        <w:t>Functionali</w:t>
      </w:r>
      <w:r>
        <w:t xml:space="preserve">ty cookies    </w:t>
      </w:r>
      <w:r>
        <w:rPr>
          <w:b/>
          <w:bCs/>
        </w:rPr>
        <w:t>OFF</w:t>
      </w:r>
      <w:bookmarkEnd w:id="7"/>
    </w:p>
    <w:p w:rsidR="004B77A9" w:rsidRDefault="00F45C71" w:rsidP="00AC4384">
      <w:pPr>
        <w:pStyle w:val="NoNumUntitledClause"/>
        <w:jc w:val="left"/>
        <w:rPr>
          <w:b/>
          <w:bCs/>
        </w:rPr>
      </w:pPr>
      <w:bookmarkStart w:id="8" w:name="a675772"/>
      <w:r>
        <w:t xml:space="preserve">Targeting cookies    </w:t>
      </w:r>
      <w:r>
        <w:rPr>
          <w:b/>
          <w:bCs/>
        </w:rPr>
        <w:t>OFF</w:t>
      </w:r>
      <w:bookmarkEnd w:id="8"/>
    </w:p>
    <w:p w:rsidR="004B77A9" w:rsidRPr="00DF29ED" w:rsidRDefault="00F45C71" w:rsidP="00AC4384">
      <w:pPr>
        <w:pStyle w:val="NoNumUntitledClause"/>
        <w:jc w:val="left"/>
      </w:pPr>
      <w:bookmarkStart w:id="9" w:name="a787195"/>
      <w:r>
        <w:t>You can also choose to "Reject All" cookies in the cookie banner.</w:t>
      </w:r>
      <w:bookmarkEnd w:id="9"/>
    </w:p>
    <w:p w:rsidR="004B77A9" w:rsidRDefault="00F45C71" w:rsidP="00AC4384">
      <w:pPr>
        <w:pStyle w:val="NoNumUntitledClause"/>
        <w:jc w:val="left"/>
      </w:pPr>
      <w:bookmarkStart w:id="10" w:name="a806118"/>
      <w:r>
        <w:t xml:space="preserve">However, if you </w:t>
      </w:r>
      <w:r w:rsidR="00005529">
        <w:t>us</w:t>
      </w:r>
      <w:r>
        <w:t>e y</w:t>
      </w:r>
      <w:r w:rsidR="00005529">
        <w:t>our</w:t>
      </w:r>
      <w:r>
        <w:t xml:space="preserve"> browser settings to block all cookies (including essential cookies) you may not be able to access all or parts of </w:t>
      </w:r>
      <w:r w:rsidR="00BF0F6A">
        <w:t>my</w:t>
      </w:r>
      <w:r>
        <w:t xml:space="preserve"> website.</w:t>
      </w:r>
      <w:bookmarkEnd w:id="10"/>
    </w:p>
    <w:p w:rsidR="004B77A9" w:rsidRPr="00EB6655" w:rsidRDefault="004B77A9" w:rsidP="00AC4384">
      <w:pPr>
        <w:pStyle w:val="NoNumTitle-Clause"/>
        <w:jc w:val="left"/>
        <w:rPr>
          <w:b w:val="0"/>
          <w:bCs/>
        </w:rPr>
      </w:pPr>
    </w:p>
    <w:sectPr w:rsidR="004B77A9" w:rsidRPr="00EB6655" w:rsidSect="00AD30DC">
      <w:footerReference w:type="default" r:id="rId12"/>
      <w:pgSz w:w="11906" w:h="16838"/>
      <w:pgMar w:top="720" w:right="720" w:bottom="720" w:left="72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C71" w:rsidRDefault="00F45C71">
      <w:pPr>
        <w:spacing w:after="0" w:line="240" w:lineRule="auto"/>
      </w:pPr>
      <w:r>
        <w:separator/>
      </w:r>
    </w:p>
  </w:endnote>
  <w:endnote w:type="continuationSeparator" w:id="1">
    <w:p w:rsidR="00F45C71" w:rsidRDefault="00F45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F5" w:rsidRDefault="004B77A9">
    <w:pPr>
      <w:jc w:val="center"/>
    </w:pPr>
    <w:r>
      <w:fldChar w:fldCharType="begin"/>
    </w:r>
    <w:r w:rsidR="00F45C71">
      <w:instrText>PAGE</w:instrText>
    </w:r>
    <w:r>
      <w:fldChar w:fldCharType="separate"/>
    </w:r>
    <w:r w:rsidR="00CF1530">
      <w:rPr>
        <w:noProof/>
      </w:rPr>
      <w:t>2</w:t>
    </w:r>
    <w:r>
      <w:fldChar w:fldCharType="end"/>
    </w:r>
  </w:p>
  <w:p w:rsidR="00CF1530" w:rsidRDefault="00CF1530">
    <w:pPr>
      <w:jc w:val="center"/>
    </w:pPr>
    <w:r>
      <w:rPr>
        <w:noProof/>
        <w:lang w:val="en-US" w:eastAsia="en-US"/>
      </w:rPr>
      <w:drawing>
        <wp:inline distT="0" distB="0" distL="0" distR="0">
          <wp:extent cx="382847" cy="247720"/>
          <wp:effectExtent l="19050" t="0" r="0" b="0"/>
          <wp:docPr id="2" name="Picture 1" descr="Logo - 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grey.png"/>
                  <pic:cNvPicPr/>
                </pic:nvPicPr>
                <pic:blipFill>
                  <a:blip r:embed="rId1"/>
                  <a:stretch>
                    <a:fillRect/>
                  </a:stretch>
                </pic:blipFill>
                <pic:spPr>
                  <a:xfrm>
                    <a:off x="0" y="0"/>
                    <a:ext cx="382960" cy="24779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C71" w:rsidRDefault="00F45C71">
      <w:pPr>
        <w:spacing w:after="0" w:line="240" w:lineRule="auto"/>
      </w:pPr>
      <w:r>
        <w:separator/>
      </w:r>
    </w:p>
  </w:footnote>
  <w:footnote w:type="continuationSeparator" w:id="1">
    <w:p w:rsidR="00F45C71" w:rsidRDefault="00F45C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7253412"/>
    <w:multiLevelType w:val="hybridMultilevel"/>
    <w:tmpl w:val="960CC850"/>
    <w:lvl w:ilvl="0" w:tplc="C4A68DEC">
      <w:start w:val="1"/>
      <w:numFmt w:val="bullet"/>
      <w:pStyle w:val="DefinedTermBullet"/>
      <w:lvlText w:val=""/>
      <w:lvlJc w:val="left"/>
      <w:pPr>
        <w:ind w:left="1440" w:hanging="360"/>
      </w:pPr>
      <w:rPr>
        <w:rFonts w:ascii="Symbol" w:hAnsi="Symbol" w:hint="default"/>
        <w:color w:val="000000"/>
      </w:rPr>
    </w:lvl>
    <w:lvl w:ilvl="1" w:tplc="08FCF19E" w:tentative="1">
      <w:start w:val="1"/>
      <w:numFmt w:val="bullet"/>
      <w:lvlText w:val="o"/>
      <w:lvlJc w:val="left"/>
      <w:pPr>
        <w:ind w:left="2160" w:hanging="360"/>
      </w:pPr>
      <w:rPr>
        <w:rFonts w:ascii="Courier New" w:hAnsi="Courier New" w:cs="Courier New" w:hint="default"/>
      </w:rPr>
    </w:lvl>
    <w:lvl w:ilvl="2" w:tplc="DF041AD8" w:tentative="1">
      <w:start w:val="1"/>
      <w:numFmt w:val="bullet"/>
      <w:lvlText w:val=""/>
      <w:lvlJc w:val="left"/>
      <w:pPr>
        <w:ind w:left="2880" w:hanging="360"/>
      </w:pPr>
      <w:rPr>
        <w:rFonts w:ascii="Wingdings" w:hAnsi="Wingdings" w:hint="default"/>
      </w:rPr>
    </w:lvl>
    <w:lvl w:ilvl="3" w:tplc="27B492BA" w:tentative="1">
      <w:start w:val="1"/>
      <w:numFmt w:val="bullet"/>
      <w:lvlText w:val=""/>
      <w:lvlJc w:val="left"/>
      <w:pPr>
        <w:ind w:left="3600" w:hanging="360"/>
      </w:pPr>
      <w:rPr>
        <w:rFonts w:ascii="Symbol" w:hAnsi="Symbol" w:hint="default"/>
      </w:rPr>
    </w:lvl>
    <w:lvl w:ilvl="4" w:tplc="8B328804" w:tentative="1">
      <w:start w:val="1"/>
      <w:numFmt w:val="bullet"/>
      <w:lvlText w:val="o"/>
      <w:lvlJc w:val="left"/>
      <w:pPr>
        <w:ind w:left="4320" w:hanging="360"/>
      </w:pPr>
      <w:rPr>
        <w:rFonts w:ascii="Courier New" w:hAnsi="Courier New" w:cs="Courier New" w:hint="default"/>
      </w:rPr>
    </w:lvl>
    <w:lvl w:ilvl="5" w:tplc="6442D852" w:tentative="1">
      <w:start w:val="1"/>
      <w:numFmt w:val="bullet"/>
      <w:lvlText w:val=""/>
      <w:lvlJc w:val="left"/>
      <w:pPr>
        <w:ind w:left="5040" w:hanging="360"/>
      </w:pPr>
      <w:rPr>
        <w:rFonts w:ascii="Wingdings" w:hAnsi="Wingdings" w:hint="default"/>
      </w:rPr>
    </w:lvl>
    <w:lvl w:ilvl="6" w:tplc="70EA538E" w:tentative="1">
      <w:start w:val="1"/>
      <w:numFmt w:val="bullet"/>
      <w:lvlText w:val=""/>
      <w:lvlJc w:val="left"/>
      <w:pPr>
        <w:ind w:left="5760" w:hanging="360"/>
      </w:pPr>
      <w:rPr>
        <w:rFonts w:ascii="Symbol" w:hAnsi="Symbol" w:hint="default"/>
      </w:rPr>
    </w:lvl>
    <w:lvl w:ilvl="7" w:tplc="C29C5C80" w:tentative="1">
      <w:start w:val="1"/>
      <w:numFmt w:val="bullet"/>
      <w:lvlText w:val="o"/>
      <w:lvlJc w:val="left"/>
      <w:pPr>
        <w:ind w:left="6480" w:hanging="360"/>
      </w:pPr>
      <w:rPr>
        <w:rFonts w:ascii="Courier New" w:hAnsi="Courier New" w:cs="Courier New" w:hint="default"/>
      </w:rPr>
    </w:lvl>
    <w:lvl w:ilvl="8" w:tplc="0802A7B8" w:tentative="1">
      <w:start w:val="1"/>
      <w:numFmt w:val="bullet"/>
      <w:lvlText w:val=""/>
      <w:lvlJc w:val="left"/>
      <w:pPr>
        <w:ind w:left="7200" w:hanging="360"/>
      </w:pPr>
      <w:rPr>
        <w:rFonts w:ascii="Wingdings" w:hAnsi="Wingdings" w:hint="default"/>
      </w:rPr>
    </w:lvl>
  </w:abstractNum>
  <w:abstractNum w:abstractNumId="12">
    <w:nsid w:val="07D059AD"/>
    <w:multiLevelType w:val="hybridMultilevel"/>
    <w:tmpl w:val="340AB914"/>
    <w:lvl w:ilvl="0" w:tplc="C90C576E">
      <w:start w:val="1"/>
      <w:numFmt w:val="lowerLetter"/>
      <w:lvlText w:val="%1)"/>
      <w:lvlJc w:val="left"/>
      <w:pPr>
        <w:ind w:left="1714" w:hanging="360"/>
      </w:pPr>
      <w:rPr>
        <w:color w:val="000000"/>
      </w:rPr>
    </w:lvl>
    <w:lvl w:ilvl="1" w:tplc="97DEC088" w:tentative="1">
      <w:start w:val="1"/>
      <w:numFmt w:val="lowerLetter"/>
      <w:lvlText w:val="%2."/>
      <w:lvlJc w:val="left"/>
      <w:pPr>
        <w:ind w:left="2434" w:hanging="360"/>
      </w:pPr>
    </w:lvl>
    <w:lvl w:ilvl="2" w:tplc="B212EC84" w:tentative="1">
      <w:start w:val="1"/>
      <w:numFmt w:val="lowerRoman"/>
      <w:lvlText w:val="%3."/>
      <w:lvlJc w:val="right"/>
      <w:pPr>
        <w:ind w:left="3154" w:hanging="180"/>
      </w:pPr>
    </w:lvl>
    <w:lvl w:ilvl="3" w:tplc="051C5226" w:tentative="1">
      <w:start w:val="1"/>
      <w:numFmt w:val="decimal"/>
      <w:lvlText w:val="%4."/>
      <w:lvlJc w:val="left"/>
      <w:pPr>
        <w:ind w:left="3874" w:hanging="360"/>
      </w:pPr>
    </w:lvl>
    <w:lvl w:ilvl="4" w:tplc="14F69606" w:tentative="1">
      <w:start w:val="1"/>
      <w:numFmt w:val="lowerLetter"/>
      <w:lvlText w:val="%5."/>
      <w:lvlJc w:val="left"/>
      <w:pPr>
        <w:ind w:left="4594" w:hanging="360"/>
      </w:pPr>
    </w:lvl>
    <w:lvl w:ilvl="5" w:tplc="E8FA4EE8" w:tentative="1">
      <w:start w:val="1"/>
      <w:numFmt w:val="lowerRoman"/>
      <w:lvlText w:val="%6."/>
      <w:lvlJc w:val="right"/>
      <w:pPr>
        <w:ind w:left="5314" w:hanging="180"/>
      </w:pPr>
    </w:lvl>
    <w:lvl w:ilvl="6" w:tplc="A7AA953A" w:tentative="1">
      <w:start w:val="1"/>
      <w:numFmt w:val="decimal"/>
      <w:lvlText w:val="%7."/>
      <w:lvlJc w:val="left"/>
      <w:pPr>
        <w:ind w:left="6034" w:hanging="360"/>
      </w:pPr>
    </w:lvl>
    <w:lvl w:ilvl="7" w:tplc="79B8F934" w:tentative="1">
      <w:start w:val="1"/>
      <w:numFmt w:val="lowerLetter"/>
      <w:lvlText w:val="%8."/>
      <w:lvlJc w:val="left"/>
      <w:pPr>
        <w:ind w:left="6754" w:hanging="360"/>
      </w:pPr>
    </w:lvl>
    <w:lvl w:ilvl="8" w:tplc="E272F53E" w:tentative="1">
      <w:start w:val="1"/>
      <w:numFmt w:val="lowerRoman"/>
      <w:lvlText w:val="%9."/>
      <w:lvlJc w:val="right"/>
      <w:pPr>
        <w:ind w:left="7474" w:hanging="180"/>
      </w:pPr>
    </w:lvl>
  </w:abstractNum>
  <w:abstractNum w:abstractNumId="13">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4E63F9"/>
    <w:multiLevelType w:val="hybridMultilevel"/>
    <w:tmpl w:val="F9EEB024"/>
    <w:lvl w:ilvl="0" w:tplc="A0E4D308">
      <w:start w:val="1"/>
      <w:numFmt w:val="decimal"/>
      <w:lvlText w:val="Schedule %1"/>
      <w:lvlJc w:val="left"/>
      <w:pPr>
        <w:ind w:left="720" w:hanging="360"/>
      </w:pPr>
      <w:rPr>
        <w:rFonts w:hint="default"/>
        <w:color w:val="000000"/>
      </w:rPr>
    </w:lvl>
    <w:lvl w:ilvl="1" w:tplc="77D0CFE6" w:tentative="1">
      <w:start w:val="1"/>
      <w:numFmt w:val="lowerLetter"/>
      <w:lvlText w:val="%2."/>
      <w:lvlJc w:val="left"/>
      <w:pPr>
        <w:ind w:left="1440" w:hanging="360"/>
      </w:pPr>
    </w:lvl>
    <w:lvl w:ilvl="2" w:tplc="39AE5724" w:tentative="1">
      <w:start w:val="1"/>
      <w:numFmt w:val="lowerRoman"/>
      <w:lvlText w:val="%3."/>
      <w:lvlJc w:val="right"/>
      <w:pPr>
        <w:ind w:left="2160" w:hanging="180"/>
      </w:pPr>
    </w:lvl>
    <w:lvl w:ilvl="3" w:tplc="67E2E328" w:tentative="1">
      <w:start w:val="1"/>
      <w:numFmt w:val="decimal"/>
      <w:lvlText w:val="%4."/>
      <w:lvlJc w:val="left"/>
      <w:pPr>
        <w:ind w:left="2880" w:hanging="360"/>
      </w:pPr>
    </w:lvl>
    <w:lvl w:ilvl="4" w:tplc="FEA481B6" w:tentative="1">
      <w:start w:val="1"/>
      <w:numFmt w:val="lowerLetter"/>
      <w:lvlText w:val="%5."/>
      <w:lvlJc w:val="left"/>
      <w:pPr>
        <w:ind w:left="3600" w:hanging="360"/>
      </w:pPr>
    </w:lvl>
    <w:lvl w:ilvl="5" w:tplc="871229A6" w:tentative="1">
      <w:start w:val="1"/>
      <w:numFmt w:val="lowerRoman"/>
      <w:lvlText w:val="%6."/>
      <w:lvlJc w:val="right"/>
      <w:pPr>
        <w:ind w:left="4320" w:hanging="180"/>
      </w:pPr>
    </w:lvl>
    <w:lvl w:ilvl="6" w:tplc="375AC764" w:tentative="1">
      <w:start w:val="1"/>
      <w:numFmt w:val="decimal"/>
      <w:lvlText w:val="%7."/>
      <w:lvlJc w:val="left"/>
      <w:pPr>
        <w:ind w:left="5040" w:hanging="360"/>
      </w:pPr>
    </w:lvl>
    <w:lvl w:ilvl="7" w:tplc="EE94400A" w:tentative="1">
      <w:start w:val="1"/>
      <w:numFmt w:val="lowerLetter"/>
      <w:lvlText w:val="%8."/>
      <w:lvlJc w:val="left"/>
      <w:pPr>
        <w:ind w:left="5760" w:hanging="360"/>
      </w:pPr>
    </w:lvl>
    <w:lvl w:ilvl="8" w:tplc="1A1E553A" w:tentative="1">
      <w:start w:val="1"/>
      <w:numFmt w:val="lowerRoman"/>
      <w:lvlText w:val="%9."/>
      <w:lvlJc w:val="right"/>
      <w:pPr>
        <w:ind w:left="6480" w:hanging="180"/>
      </w:pPr>
    </w:lvl>
  </w:abstractNum>
  <w:abstractNum w:abstractNumId="16">
    <w:nsid w:val="20E82F3A"/>
    <w:multiLevelType w:val="hybridMultilevel"/>
    <w:tmpl w:val="1DF80854"/>
    <w:lvl w:ilvl="0" w:tplc="5972C52E">
      <w:start w:val="1"/>
      <w:numFmt w:val="decimal"/>
      <w:pStyle w:val="ScheduleHeading-Single"/>
      <w:lvlText w:val="Schedule"/>
      <w:lvlJc w:val="left"/>
      <w:pPr>
        <w:tabs>
          <w:tab w:val="num" w:pos="720"/>
        </w:tabs>
        <w:ind w:left="720" w:hanging="720"/>
      </w:pPr>
      <w:rPr>
        <w:color w:val="000000"/>
      </w:rPr>
    </w:lvl>
    <w:lvl w:ilvl="1" w:tplc="03705C6A" w:tentative="1">
      <w:start w:val="1"/>
      <w:numFmt w:val="lowerLetter"/>
      <w:lvlText w:val="%2."/>
      <w:lvlJc w:val="left"/>
      <w:pPr>
        <w:tabs>
          <w:tab w:val="num" w:pos="1440"/>
        </w:tabs>
        <w:ind w:left="1440" w:hanging="360"/>
      </w:pPr>
    </w:lvl>
    <w:lvl w:ilvl="2" w:tplc="BEF43A44" w:tentative="1">
      <w:start w:val="1"/>
      <w:numFmt w:val="lowerRoman"/>
      <w:lvlText w:val="%3."/>
      <w:lvlJc w:val="right"/>
      <w:pPr>
        <w:tabs>
          <w:tab w:val="num" w:pos="2160"/>
        </w:tabs>
        <w:ind w:left="2160" w:hanging="180"/>
      </w:pPr>
    </w:lvl>
    <w:lvl w:ilvl="3" w:tplc="B2CA7858" w:tentative="1">
      <w:start w:val="1"/>
      <w:numFmt w:val="decimal"/>
      <w:lvlText w:val="%4."/>
      <w:lvlJc w:val="left"/>
      <w:pPr>
        <w:tabs>
          <w:tab w:val="num" w:pos="2880"/>
        </w:tabs>
        <w:ind w:left="2880" w:hanging="360"/>
      </w:pPr>
    </w:lvl>
    <w:lvl w:ilvl="4" w:tplc="273CADF2" w:tentative="1">
      <w:start w:val="1"/>
      <w:numFmt w:val="lowerLetter"/>
      <w:lvlText w:val="%5."/>
      <w:lvlJc w:val="left"/>
      <w:pPr>
        <w:tabs>
          <w:tab w:val="num" w:pos="3600"/>
        </w:tabs>
        <w:ind w:left="3600" w:hanging="360"/>
      </w:pPr>
    </w:lvl>
    <w:lvl w:ilvl="5" w:tplc="C180F530" w:tentative="1">
      <w:start w:val="1"/>
      <w:numFmt w:val="lowerRoman"/>
      <w:lvlText w:val="%6."/>
      <w:lvlJc w:val="right"/>
      <w:pPr>
        <w:tabs>
          <w:tab w:val="num" w:pos="4320"/>
        </w:tabs>
        <w:ind w:left="4320" w:hanging="180"/>
      </w:pPr>
    </w:lvl>
    <w:lvl w:ilvl="6" w:tplc="E430AD1E" w:tentative="1">
      <w:start w:val="1"/>
      <w:numFmt w:val="decimal"/>
      <w:lvlText w:val="%7."/>
      <w:lvlJc w:val="left"/>
      <w:pPr>
        <w:tabs>
          <w:tab w:val="num" w:pos="5040"/>
        </w:tabs>
        <w:ind w:left="5040" w:hanging="360"/>
      </w:pPr>
    </w:lvl>
    <w:lvl w:ilvl="7" w:tplc="E2C2E3F4" w:tentative="1">
      <w:start w:val="1"/>
      <w:numFmt w:val="lowerLetter"/>
      <w:lvlText w:val="%8."/>
      <w:lvlJc w:val="left"/>
      <w:pPr>
        <w:tabs>
          <w:tab w:val="num" w:pos="5760"/>
        </w:tabs>
        <w:ind w:left="5760" w:hanging="360"/>
      </w:pPr>
    </w:lvl>
    <w:lvl w:ilvl="8" w:tplc="A78C4582" w:tentative="1">
      <w:start w:val="1"/>
      <w:numFmt w:val="lowerRoman"/>
      <w:lvlText w:val="%9."/>
      <w:lvlJc w:val="right"/>
      <w:pPr>
        <w:tabs>
          <w:tab w:val="num" w:pos="6480"/>
        </w:tabs>
        <w:ind w:left="6480" w:hanging="180"/>
      </w:pPr>
    </w:lvl>
  </w:abstractNum>
  <w:abstractNum w:abstractNumId="17">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nsid w:val="23F230AE"/>
    <w:multiLevelType w:val="hybridMultilevel"/>
    <w:tmpl w:val="DC3EE75A"/>
    <w:lvl w:ilvl="0" w:tplc="601C78AE">
      <w:start w:val="1"/>
      <w:numFmt w:val="decimal"/>
      <w:lvlText w:val="Part %1"/>
      <w:lvlJc w:val="left"/>
      <w:pPr>
        <w:ind w:left="720" w:hanging="360"/>
      </w:pPr>
      <w:rPr>
        <w:rFonts w:hint="default"/>
        <w:b/>
        <w:i w:val="0"/>
        <w:color w:val="000000"/>
      </w:rPr>
    </w:lvl>
    <w:lvl w:ilvl="1" w:tplc="23D88CB6" w:tentative="1">
      <w:start w:val="1"/>
      <w:numFmt w:val="lowerLetter"/>
      <w:lvlText w:val="%2."/>
      <w:lvlJc w:val="left"/>
      <w:pPr>
        <w:ind w:left="1440" w:hanging="360"/>
      </w:pPr>
    </w:lvl>
    <w:lvl w:ilvl="2" w:tplc="B3FE9634" w:tentative="1">
      <w:start w:val="1"/>
      <w:numFmt w:val="lowerRoman"/>
      <w:lvlText w:val="%3."/>
      <w:lvlJc w:val="right"/>
      <w:pPr>
        <w:ind w:left="2160" w:hanging="180"/>
      </w:pPr>
    </w:lvl>
    <w:lvl w:ilvl="3" w:tplc="D2082758" w:tentative="1">
      <w:start w:val="1"/>
      <w:numFmt w:val="decimal"/>
      <w:lvlText w:val="%4."/>
      <w:lvlJc w:val="left"/>
      <w:pPr>
        <w:ind w:left="2880" w:hanging="360"/>
      </w:pPr>
    </w:lvl>
    <w:lvl w:ilvl="4" w:tplc="B8B214EC" w:tentative="1">
      <w:start w:val="1"/>
      <w:numFmt w:val="lowerLetter"/>
      <w:lvlText w:val="%5."/>
      <w:lvlJc w:val="left"/>
      <w:pPr>
        <w:ind w:left="3600" w:hanging="360"/>
      </w:pPr>
    </w:lvl>
    <w:lvl w:ilvl="5" w:tplc="E80EF7FE" w:tentative="1">
      <w:start w:val="1"/>
      <w:numFmt w:val="lowerRoman"/>
      <w:lvlText w:val="%6."/>
      <w:lvlJc w:val="right"/>
      <w:pPr>
        <w:ind w:left="4320" w:hanging="180"/>
      </w:pPr>
    </w:lvl>
    <w:lvl w:ilvl="6" w:tplc="92A8CFDC" w:tentative="1">
      <w:start w:val="1"/>
      <w:numFmt w:val="decimal"/>
      <w:lvlText w:val="%7."/>
      <w:lvlJc w:val="left"/>
      <w:pPr>
        <w:ind w:left="5040" w:hanging="360"/>
      </w:pPr>
    </w:lvl>
    <w:lvl w:ilvl="7" w:tplc="B04A9744" w:tentative="1">
      <w:start w:val="1"/>
      <w:numFmt w:val="lowerLetter"/>
      <w:lvlText w:val="%8."/>
      <w:lvlJc w:val="left"/>
      <w:pPr>
        <w:ind w:left="5760" w:hanging="360"/>
      </w:pPr>
    </w:lvl>
    <w:lvl w:ilvl="8" w:tplc="8F2AAF7A" w:tentative="1">
      <w:start w:val="1"/>
      <w:numFmt w:val="lowerRoman"/>
      <w:lvlText w:val="%9."/>
      <w:lvlJc w:val="right"/>
      <w:pPr>
        <w:ind w:left="6480" w:hanging="180"/>
      </w:pPr>
    </w:lvl>
  </w:abstractNum>
  <w:abstractNum w:abstractNumId="19">
    <w:nsid w:val="25B00E4C"/>
    <w:multiLevelType w:val="hybridMultilevel"/>
    <w:tmpl w:val="97C4AA26"/>
    <w:lvl w:ilvl="0" w:tplc="ADE828BA">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rPr>
    </w:lvl>
    <w:lvl w:ilvl="1" w:tplc="D41CC1D6" w:tentative="1">
      <w:start w:val="1"/>
      <w:numFmt w:val="lowerLetter"/>
      <w:lvlText w:val="%2."/>
      <w:lvlJc w:val="left"/>
      <w:pPr>
        <w:ind w:left="1440" w:hanging="360"/>
      </w:pPr>
    </w:lvl>
    <w:lvl w:ilvl="2" w:tplc="B784BE46" w:tentative="1">
      <w:start w:val="1"/>
      <w:numFmt w:val="lowerRoman"/>
      <w:lvlText w:val="%3."/>
      <w:lvlJc w:val="right"/>
      <w:pPr>
        <w:ind w:left="2160" w:hanging="180"/>
      </w:pPr>
    </w:lvl>
    <w:lvl w:ilvl="3" w:tplc="28A241F2" w:tentative="1">
      <w:start w:val="1"/>
      <w:numFmt w:val="decimal"/>
      <w:lvlText w:val="%4."/>
      <w:lvlJc w:val="left"/>
      <w:pPr>
        <w:ind w:left="2880" w:hanging="360"/>
      </w:pPr>
    </w:lvl>
    <w:lvl w:ilvl="4" w:tplc="3C54CCA0" w:tentative="1">
      <w:start w:val="1"/>
      <w:numFmt w:val="lowerLetter"/>
      <w:lvlText w:val="%5."/>
      <w:lvlJc w:val="left"/>
      <w:pPr>
        <w:ind w:left="3600" w:hanging="360"/>
      </w:pPr>
    </w:lvl>
    <w:lvl w:ilvl="5" w:tplc="BC8CFA68" w:tentative="1">
      <w:start w:val="1"/>
      <w:numFmt w:val="lowerRoman"/>
      <w:lvlText w:val="%6."/>
      <w:lvlJc w:val="right"/>
      <w:pPr>
        <w:ind w:left="4320" w:hanging="180"/>
      </w:pPr>
    </w:lvl>
    <w:lvl w:ilvl="6" w:tplc="002CE88C" w:tentative="1">
      <w:start w:val="1"/>
      <w:numFmt w:val="decimal"/>
      <w:lvlText w:val="%7."/>
      <w:lvlJc w:val="left"/>
      <w:pPr>
        <w:ind w:left="5040" w:hanging="360"/>
      </w:pPr>
    </w:lvl>
    <w:lvl w:ilvl="7" w:tplc="D0D40CC6" w:tentative="1">
      <w:start w:val="1"/>
      <w:numFmt w:val="lowerLetter"/>
      <w:lvlText w:val="%8."/>
      <w:lvlJc w:val="left"/>
      <w:pPr>
        <w:ind w:left="5760" w:hanging="360"/>
      </w:pPr>
    </w:lvl>
    <w:lvl w:ilvl="8" w:tplc="4624344E" w:tentative="1">
      <w:start w:val="1"/>
      <w:numFmt w:val="lowerRoman"/>
      <w:lvlText w:val="%9."/>
      <w:lvlJc w:val="right"/>
      <w:pPr>
        <w:ind w:left="6480" w:hanging="180"/>
      </w:pPr>
    </w:lvl>
  </w:abstractNum>
  <w:abstractNum w:abstractNumId="20">
    <w:nsid w:val="29C94F29"/>
    <w:multiLevelType w:val="hybridMultilevel"/>
    <w:tmpl w:val="4CBC2A34"/>
    <w:lvl w:ilvl="0" w:tplc="7CB256BA">
      <w:start w:val="1"/>
      <w:numFmt w:val="decimal"/>
      <w:pStyle w:val="QuestionParagraph"/>
      <w:lvlText w:val="%1."/>
      <w:lvlJc w:val="left"/>
      <w:pPr>
        <w:ind w:left="720" w:hanging="360"/>
      </w:pPr>
      <w:rPr>
        <w:color w:val="000000"/>
      </w:rPr>
    </w:lvl>
    <w:lvl w:ilvl="1" w:tplc="7924E2AA" w:tentative="1">
      <w:start w:val="1"/>
      <w:numFmt w:val="lowerLetter"/>
      <w:lvlText w:val="%2."/>
      <w:lvlJc w:val="left"/>
      <w:pPr>
        <w:ind w:left="1440" w:hanging="360"/>
      </w:pPr>
    </w:lvl>
    <w:lvl w:ilvl="2" w:tplc="20D60C1C" w:tentative="1">
      <w:start w:val="1"/>
      <w:numFmt w:val="lowerRoman"/>
      <w:lvlText w:val="%3."/>
      <w:lvlJc w:val="right"/>
      <w:pPr>
        <w:ind w:left="2160" w:hanging="180"/>
      </w:pPr>
    </w:lvl>
    <w:lvl w:ilvl="3" w:tplc="DAA0D858" w:tentative="1">
      <w:start w:val="1"/>
      <w:numFmt w:val="decimal"/>
      <w:lvlText w:val="%4."/>
      <w:lvlJc w:val="left"/>
      <w:pPr>
        <w:ind w:left="2880" w:hanging="360"/>
      </w:pPr>
    </w:lvl>
    <w:lvl w:ilvl="4" w:tplc="2B68A844" w:tentative="1">
      <w:start w:val="1"/>
      <w:numFmt w:val="lowerLetter"/>
      <w:lvlText w:val="%5."/>
      <w:lvlJc w:val="left"/>
      <w:pPr>
        <w:ind w:left="3600" w:hanging="360"/>
      </w:pPr>
    </w:lvl>
    <w:lvl w:ilvl="5" w:tplc="D6B8F0CE" w:tentative="1">
      <w:start w:val="1"/>
      <w:numFmt w:val="lowerRoman"/>
      <w:lvlText w:val="%6."/>
      <w:lvlJc w:val="right"/>
      <w:pPr>
        <w:ind w:left="4320" w:hanging="180"/>
      </w:pPr>
    </w:lvl>
    <w:lvl w:ilvl="6" w:tplc="C2F4B704" w:tentative="1">
      <w:start w:val="1"/>
      <w:numFmt w:val="decimal"/>
      <w:lvlText w:val="%7."/>
      <w:lvlJc w:val="left"/>
      <w:pPr>
        <w:ind w:left="5040" w:hanging="360"/>
      </w:pPr>
    </w:lvl>
    <w:lvl w:ilvl="7" w:tplc="A2A046B8" w:tentative="1">
      <w:start w:val="1"/>
      <w:numFmt w:val="lowerLetter"/>
      <w:lvlText w:val="%8."/>
      <w:lvlJc w:val="left"/>
      <w:pPr>
        <w:ind w:left="5760" w:hanging="360"/>
      </w:pPr>
    </w:lvl>
    <w:lvl w:ilvl="8" w:tplc="6F160C30" w:tentative="1">
      <w:start w:val="1"/>
      <w:numFmt w:val="lowerRoman"/>
      <w:lvlText w:val="%9."/>
      <w:lvlJc w:val="right"/>
      <w:pPr>
        <w:ind w:left="6480" w:hanging="180"/>
      </w:pPr>
    </w:lvl>
  </w:abstractNum>
  <w:abstractNum w:abstractNumId="21">
    <w:nsid w:val="310416CA"/>
    <w:multiLevelType w:val="hybridMultilevel"/>
    <w:tmpl w:val="072EDEC8"/>
    <w:lvl w:ilvl="0" w:tplc="4260EBD0">
      <w:start w:val="1"/>
      <w:numFmt w:val="bullet"/>
      <w:pStyle w:val="subclause2Bullet2"/>
      <w:lvlText w:val=""/>
      <w:lvlJc w:val="left"/>
      <w:pPr>
        <w:ind w:left="2279" w:hanging="360"/>
      </w:pPr>
      <w:rPr>
        <w:rFonts w:ascii="Symbol" w:hAnsi="Symbol" w:hint="default"/>
        <w:color w:val="000000"/>
      </w:rPr>
    </w:lvl>
    <w:lvl w:ilvl="1" w:tplc="17F446AE" w:tentative="1">
      <w:start w:val="1"/>
      <w:numFmt w:val="bullet"/>
      <w:lvlText w:val="o"/>
      <w:lvlJc w:val="left"/>
      <w:pPr>
        <w:ind w:left="2999" w:hanging="360"/>
      </w:pPr>
      <w:rPr>
        <w:rFonts w:ascii="Courier New" w:hAnsi="Courier New" w:cs="Courier New" w:hint="default"/>
      </w:rPr>
    </w:lvl>
    <w:lvl w:ilvl="2" w:tplc="DCA2B700" w:tentative="1">
      <w:start w:val="1"/>
      <w:numFmt w:val="bullet"/>
      <w:lvlText w:val=""/>
      <w:lvlJc w:val="left"/>
      <w:pPr>
        <w:ind w:left="3719" w:hanging="360"/>
      </w:pPr>
      <w:rPr>
        <w:rFonts w:ascii="Wingdings" w:hAnsi="Wingdings" w:hint="default"/>
      </w:rPr>
    </w:lvl>
    <w:lvl w:ilvl="3" w:tplc="0984641E" w:tentative="1">
      <w:start w:val="1"/>
      <w:numFmt w:val="bullet"/>
      <w:lvlText w:val=""/>
      <w:lvlJc w:val="left"/>
      <w:pPr>
        <w:ind w:left="4439" w:hanging="360"/>
      </w:pPr>
      <w:rPr>
        <w:rFonts w:ascii="Symbol" w:hAnsi="Symbol" w:hint="default"/>
      </w:rPr>
    </w:lvl>
    <w:lvl w:ilvl="4" w:tplc="44D86D58" w:tentative="1">
      <w:start w:val="1"/>
      <w:numFmt w:val="bullet"/>
      <w:lvlText w:val="o"/>
      <w:lvlJc w:val="left"/>
      <w:pPr>
        <w:ind w:left="5159" w:hanging="360"/>
      </w:pPr>
      <w:rPr>
        <w:rFonts w:ascii="Courier New" w:hAnsi="Courier New" w:cs="Courier New" w:hint="default"/>
      </w:rPr>
    </w:lvl>
    <w:lvl w:ilvl="5" w:tplc="6B58A832" w:tentative="1">
      <w:start w:val="1"/>
      <w:numFmt w:val="bullet"/>
      <w:lvlText w:val=""/>
      <w:lvlJc w:val="left"/>
      <w:pPr>
        <w:ind w:left="5879" w:hanging="360"/>
      </w:pPr>
      <w:rPr>
        <w:rFonts w:ascii="Wingdings" w:hAnsi="Wingdings" w:hint="default"/>
      </w:rPr>
    </w:lvl>
    <w:lvl w:ilvl="6" w:tplc="210E9C1E" w:tentative="1">
      <w:start w:val="1"/>
      <w:numFmt w:val="bullet"/>
      <w:lvlText w:val=""/>
      <w:lvlJc w:val="left"/>
      <w:pPr>
        <w:ind w:left="6599" w:hanging="360"/>
      </w:pPr>
      <w:rPr>
        <w:rFonts w:ascii="Symbol" w:hAnsi="Symbol" w:hint="default"/>
      </w:rPr>
    </w:lvl>
    <w:lvl w:ilvl="7" w:tplc="ADA64436" w:tentative="1">
      <w:start w:val="1"/>
      <w:numFmt w:val="bullet"/>
      <w:lvlText w:val="o"/>
      <w:lvlJc w:val="left"/>
      <w:pPr>
        <w:ind w:left="7319" w:hanging="360"/>
      </w:pPr>
      <w:rPr>
        <w:rFonts w:ascii="Courier New" w:hAnsi="Courier New" w:cs="Courier New" w:hint="default"/>
      </w:rPr>
    </w:lvl>
    <w:lvl w:ilvl="8" w:tplc="4BC07F60" w:tentative="1">
      <w:start w:val="1"/>
      <w:numFmt w:val="bullet"/>
      <w:lvlText w:val=""/>
      <w:lvlJc w:val="left"/>
      <w:pPr>
        <w:ind w:left="8039" w:hanging="360"/>
      </w:pPr>
      <w:rPr>
        <w:rFonts w:ascii="Wingdings" w:hAnsi="Wingdings" w:hint="default"/>
      </w:rPr>
    </w:lvl>
  </w:abstractNum>
  <w:abstractNum w:abstractNumId="22">
    <w:nsid w:val="31E9741F"/>
    <w:multiLevelType w:val="hybridMultilevel"/>
    <w:tmpl w:val="0CAC7D4E"/>
    <w:lvl w:ilvl="0" w:tplc="212CEE4C">
      <w:start w:val="1"/>
      <w:numFmt w:val="bullet"/>
      <w:pStyle w:val="BulletList2"/>
      <w:lvlText w:val=""/>
      <w:lvlJc w:val="left"/>
      <w:pPr>
        <w:tabs>
          <w:tab w:val="num" w:pos="1077"/>
        </w:tabs>
        <w:ind w:left="1077" w:hanging="357"/>
      </w:pPr>
      <w:rPr>
        <w:rFonts w:ascii="Symbol" w:hAnsi="Symbol" w:hint="default"/>
        <w:color w:val="000000"/>
      </w:rPr>
    </w:lvl>
    <w:lvl w:ilvl="1" w:tplc="6EDA1D3C" w:tentative="1">
      <w:start w:val="1"/>
      <w:numFmt w:val="bullet"/>
      <w:lvlText w:val="o"/>
      <w:lvlJc w:val="left"/>
      <w:pPr>
        <w:tabs>
          <w:tab w:val="num" w:pos="1440"/>
        </w:tabs>
        <w:ind w:left="1440" w:hanging="360"/>
      </w:pPr>
      <w:rPr>
        <w:rFonts w:ascii="Courier New" w:hAnsi="Courier New" w:cs="Courier New" w:hint="default"/>
      </w:rPr>
    </w:lvl>
    <w:lvl w:ilvl="2" w:tplc="092A02BE" w:tentative="1">
      <w:start w:val="1"/>
      <w:numFmt w:val="bullet"/>
      <w:lvlText w:val=""/>
      <w:lvlJc w:val="left"/>
      <w:pPr>
        <w:tabs>
          <w:tab w:val="num" w:pos="2160"/>
        </w:tabs>
        <w:ind w:left="2160" w:hanging="360"/>
      </w:pPr>
      <w:rPr>
        <w:rFonts w:ascii="Wingdings" w:hAnsi="Wingdings" w:hint="default"/>
      </w:rPr>
    </w:lvl>
    <w:lvl w:ilvl="3" w:tplc="9FD650FA" w:tentative="1">
      <w:start w:val="1"/>
      <w:numFmt w:val="bullet"/>
      <w:lvlText w:val=""/>
      <w:lvlJc w:val="left"/>
      <w:pPr>
        <w:tabs>
          <w:tab w:val="num" w:pos="2880"/>
        </w:tabs>
        <w:ind w:left="2880" w:hanging="360"/>
      </w:pPr>
      <w:rPr>
        <w:rFonts w:ascii="Symbol" w:hAnsi="Symbol" w:hint="default"/>
      </w:rPr>
    </w:lvl>
    <w:lvl w:ilvl="4" w:tplc="1DF6D34A" w:tentative="1">
      <w:start w:val="1"/>
      <w:numFmt w:val="bullet"/>
      <w:lvlText w:val="o"/>
      <w:lvlJc w:val="left"/>
      <w:pPr>
        <w:tabs>
          <w:tab w:val="num" w:pos="3600"/>
        </w:tabs>
        <w:ind w:left="3600" w:hanging="360"/>
      </w:pPr>
      <w:rPr>
        <w:rFonts w:ascii="Courier New" w:hAnsi="Courier New" w:cs="Courier New" w:hint="default"/>
      </w:rPr>
    </w:lvl>
    <w:lvl w:ilvl="5" w:tplc="7D70A7F8" w:tentative="1">
      <w:start w:val="1"/>
      <w:numFmt w:val="bullet"/>
      <w:lvlText w:val=""/>
      <w:lvlJc w:val="left"/>
      <w:pPr>
        <w:tabs>
          <w:tab w:val="num" w:pos="4320"/>
        </w:tabs>
        <w:ind w:left="4320" w:hanging="360"/>
      </w:pPr>
      <w:rPr>
        <w:rFonts w:ascii="Wingdings" w:hAnsi="Wingdings" w:hint="default"/>
      </w:rPr>
    </w:lvl>
    <w:lvl w:ilvl="6" w:tplc="454E27B2" w:tentative="1">
      <w:start w:val="1"/>
      <w:numFmt w:val="bullet"/>
      <w:lvlText w:val=""/>
      <w:lvlJc w:val="left"/>
      <w:pPr>
        <w:tabs>
          <w:tab w:val="num" w:pos="5040"/>
        </w:tabs>
        <w:ind w:left="5040" w:hanging="360"/>
      </w:pPr>
      <w:rPr>
        <w:rFonts w:ascii="Symbol" w:hAnsi="Symbol" w:hint="default"/>
      </w:rPr>
    </w:lvl>
    <w:lvl w:ilvl="7" w:tplc="602A80E6" w:tentative="1">
      <w:start w:val="1"/>
      <w:numFmt w:val="bullet"/>
      <w:lvlText w:val="o"/>
      <w:lvlJc w:val="left"/>
      <w:pPr>
        <w:tabs>
          <w:tab w:val="num" w:pos="5760"/>
        </w:tabs>
        <w:ind w:left="5760" w:hanging="360"/>
      </w:pPr>
      <w:rPr>
        <w:rFonts w:ascii="Courier New" w:hAnsi="Courier New" w:cs="Courier New" w:hint="default"/>
      </w:rPr>
    </w:lvl>
    <w:lvl w:ilvl="8" w:tplc="8090863A" w:tentative="1">
      <w:start w:val="1"/>
      <w:numFmt w:val="bullet"/>
      <w:lvlText w:val=""/>
      <w:lvlJc w:val="left"/>
      <w:pPr>
        <w:tabs>
          <w:tab w:val="num" w:pos="6480"/>
        </w:tabs>
        <w:ind w:left="6480" w:hanging="360"/>
      </w:pPr>
      <w:rPr>
        <w:rFonts w:ascii="Wingdings" w:hAnsi="Wingdings" w:hint="default"/>
      </w:rPr>
    </w:lvl>
  </w:abstractNum>
  <w:abstractNum w:abstractNumId="23">
    <w:nsid w:val="33CC668D"/>
    <w:multiLevelType w:val="hybridMultilevel"/>
    <w:tmpl w:val="594C4DAE"/>
    <w:lvl w:ilvl="0" w:tplc="87543F1E">
      <w:start w:val="1"/>
      <w:numFmt w:val="bullet"/>
      <w:pStyle w:val="Bullet4"/>
      <w:lvlText w:val=""/>
      <w:lvlJc w:val="left"/>
      <w:pPr>
        <w:tabs>
          <w:tab w:val="num" w:pos="2676"/>
        </w:tabs>
        <w:ind w:left="2676" w:hanging="357"/>
      </w:pPr>
      <w:rPr>
        <w:rFonts w:ascii="Symbol" w:hAnsi="Symbol" w:hint="default"/>
        <w:color w:val="000000"/>
      </w:rPr>
    </w:lvl>
    <w:lvl w:ilvl="1" w:tplc="E3467BBC" w:tentative="1">
      <w:start w:val="1"/>
      <w:numFmt w:val="bullet"/>
      <w:lvlText w:val="o"/>
      <w:lvlJc w:val="left"/>
      <w:pPr>
        <w:tabs>
          <w:tab w:val="num" w:pos="1440"/>
        </w:tabs>
        <w:ind w:left="1440" w:hanging="360"/>
      </w:pPr>
      <w:rPr>
        <w:rFonts w:ascii="Courier New" w:hAnsi="Courier New" w:cs="Courier New" w:hint="default"/>
      </w:rPr>
    </w:lvl>
    <w:lvl w:ilvl="2" w:tplc="63948C42" w:tentative="1">
      <w:start w:val="1"/>
      <w:numFmt w:val="bullet"/>
      <w:lvlText w:val=""/>
      <w:lvlJc w:val="left"/>
      <w:pPr>
        <w:tabs>
          <w:tab w:val="num" w:pos="2160"/>
        </w:tabs>
        <w:ind w:left="2160" w:hanging="360"/>
      </w:pPr>
      <w:rPr>
        <w:rFonts w:ascii="Wingdings" w:hAnsi="Wingdings" w:hint="default"/>
      </w:rPr>
    </w:lvl>
    <w:lvl w:ilvl="3" w:tplc="3028B320" w:tentative="1">
      <w:start w:val="1"/>
      <w:numFmt w:val="bullet"/>
      <w:lvlText w:val=""/>
      <w:lvlJc w:val="left"/>
      <w:pPr>
        <w:tabs>
          <w:tab w:val="num" w:pos="2880"/>
        </w:tabs>
        <w:ind w:left="2880" w:hanging="360"/>
      </w:pPr>
      <w:rPr>
        <w:rFonts w:ascii="Symbol" w:hAnsi="Symbol" w:hint="default"/>
      </w:rPr>
    </w:lvl>
    <w:lvl w:ilvl="4" w:tplc="547EC6FE" w:tentative="1">
      <w:start w:val="1"/>
      <w:numFmt w:val="bullet"/>
      <w:lvlText w:val="o"/>
      <w:lvlJc w:val="left"/>
      <w:pPr>
        <w:tabs>
          <w:tab w:val="num" w:pos="3600"/>
        </w:tabs>
        <w:ind w:left="3600" w:hanging="360"/>
      </w:pPr>
      <w:rPr>
        <w:rFonts w:ascii="Courier New" w:hAnsi="Courier New" w:cs="Courier New" w:hint="default"/>
      </w:rPr>
    </w:lvl>
    <w:lvl w:ilvl="5" w:tplc="A2DC79E2" w:tentative="1">
      <w:start w:val="1"/>
      <w:numFmt w:val="bullet"/>
      <w:lvlText w:val=""/>
      <w:lvlJc w:val="left"/>
      <w:pPr>
        <w:tabs>
          <w:tab w:val="num" w:pos="4320"/>
        </w:tabs>
        <w:ind w:left="4320" w:hanging="360"/>
      </w:pPr>
      <w:rPr>
        <w:rFonts w:ascii="Wingdings" w:hAnsi="Wingdings" w:hint="default"/>
      </w:rPr>
    </w:lvl>
    <w:lvl w:ilvl="6" w:tplc="6B12F802" w:tentative="1">
      <w:start w:val="1"/>
      <w:numFmt w:val="bullet"/>
      <w:lvlText w:val=""/>
      <w:lvlJc w:val="left"/>
      <w:pPr>
        <w:tabs>
          <w:tab w:val="num" w:pos="5040"/>
        </w:tabs>
        <w:ind w:left="5040" w:hanging="360"/>
      </w:pPr>
      <w:rPr>
        <w:rFonts w:ascii="Symbol" w:hAnsi="Symbol" w:hint="default"/>
      </w:rPr>
    </w:lvl>
    <w:lvl w:ilvl="7" w:tplc="E61E8896" w:tentative="1">
      <w:start w:val="1"/>
      <w:numFmt w:val="bullet"/>
      <w:lvlText w:val="o"/>
      <w:lvlJc w:val="left"/>
      <w:pPr>
        <w:tabs>
          <w:tab w:val="num" w:pos="5760"/>
        </w:tabs>
        <w:ind w:left="5760" w:hanging="360"/>
      </w:pPr>
      <w:rPr>
        <w:rFonts w:ascii="Courier New" w:hAnsi="Courier New" w:cs="Courier New" w:hint="default"/>
      </w:rPr>
    </w:lvl>
    <w:lvl w:ilvl="8" w:tplc="8286D48C" w:tentative="1">
      <w:start w:val="1"/>
      <w:numFmt w:val="bullet"/>
      <w:lvlText w:val=""/>
      <w:lvlJc w:val="left"/>
      <w:pPr>
        <w:tabs>
          <w:tab w:val="num" w:pos="6480"/>
        </w:tabs>
        <w:ind w:left="6480" w:hanging="360"/>
      </w:pPr>
      <w:rPr>
        <w:rFonts w:ascii="Wingdings" w:hAnsi="Wingdings" w:hint="default"/>
      </w:rPr>
    </w:lvl>
  </w:abstractNum>
  <w:abstractNum w:abstractNumId="24">
    <w:nsid w:val="34F97629"/>
    <w:multiLevelType w:val="hybridMultilevel"/>
    <w:tmpl w:val="AECC4860"/>
    <w:lvl w:ilvl="0" w:tplc="FE64E7F0">
      <w:start w:val="1"/>
      <w:numFmt w:val="bullet"/>
      <w:lvlText w:val=""/>
      <w:lvlJc w:val="left"/>
      <w:pPr>
        <w:ind w:left="720" w:hanging="360"/>
      </w:pPr>
      <w:rPr>
        <w:rFonts w:ascii="Symbol" w:hAnsi="Symbol" w:hint="default"/>
        <w:color w:val="000000"/>
      </w:rPr>
    </w:lvl>
    <w:lvl w:ilvl="1" w:tplc="9626C7CA">
      <w:start w:val="1"/>
      <w:numFmt w:val="bullet"/>
      <w:lvlText w:val="o"/>
      <w:lvlJc w:val="left"/>
      <w:pPr>
        <w:ind w:left="1440" w:hanging="360"/>
      </w:pPr>
      <w:rPr>
        <w:rFonts w:ascii="Courier New" w:hAnsi="Courier New" w:cs="Courier New" w:hint="default"/>
      </w:rPr>
    </w:lvl>
    <w:lvl w:ilvl="2" w:tplc="1CEAA6C0">
      <w:start w:val="1"/>
      <w:numFmt w:val="bullet"/>
      <w:lvlText w:val=""/>
      <w:lvlJc w:val="left"/>
      <w:pPr>
        <w:ind w:left="2160" w:hanging="360"/>
      </w:pPr>
      <w:rPr>
        <w:rFonts w:ascii="Wingdings" w:hAnsi="Wingdings" w:hint="default"/>
      </w:rPr>
    </w:lvl>
    <w:lvl w:ilvl="3" w:tplc="B47A3982">
      <w:start w:val="1"/>
      <w:numFmt w:val="bullet"/>
      <w:lvlText w:val=""/>
      <w:lvlJc w:val="left"/>
      <w:pPr>
        <w:ind w:left="2880" w:hanging="360"/>
      </w:pPr>
      <w:rPr>
        <w:rFonts w:ascii="Symbol" w:hAnsi="Symbol" w:hint="default"/>
      </w:rPr>
    </w:lvl>
    <w:lvl w:ilvl="4" w:tplc="97C86FD4">
      <w:start w:val="1"/>
      <w:numFmt w:val="bullet"/>
      <w:lvlText w:val="o"/>
      <w:lvlJc w:val="left"/>
      <w:pPr>
        <w:ind w:left="3600" w:hanging="360"/>
      </w:pPr>
      <w:rPr>
        <w:rFonts w:ascii="Courier New" w:hAnsi="Courier New" w:cs="Courier New" w:hint="default"/>
      </w:rPr>
    </w:lvl>
    <w:lvl w:ilvl="5" w:tplc="927E7D9E">
      <w:start w:val="1"/>
      <w:numFmt w:val="bullet"/>
      <w:lvlText w:val=""/>
      <w:lvlJc w:val="left"/>
      <w:pPr>
        <w:ind w:left="4320" w:hanging="360"/>
      </w:pPr>
      <w:rPr>
        <w:rFonts w:ascii="Wingdings" w:hAnsi="Wingdings" w:hint="default"/>
      </w:rPr>
    </w:lvl>
    <w:lvl w:ilvl="6" w:tplc="73DA10FA">
      <w:start w:val="1"/>
      <w:numFmt w:val="bullet"/>
      <w:lvlText w:val=""/>
      <w:lvlJc w:val="left"/>
      <w:pPr>
        <w:ind w:left="5040" w:hanging="360"/>
      </w:pPr>
      <w:rPr>
        <w:rFonts w:ascii="Symbol" w:hAnsi="Symbol" w:hint="default"/>
      </w:rPr>
    </w:lvl>
    <w:lvl w:ilvl="7" w:tplc="CD0E10FC">
      <w:start w:val="1"/>
      <w:numFmt w:val="bullet"/>
      <w:lvlText w:val="o"/>
      <w:lvlJc w:val="left"/>
      <w:pPr>
        <w:ind w:left="5760" w:hanging="360"/>
      </w:pPr>
      <w:rPr>
        <w:rFonts w:ascii="Courier New" w:hAnsi="Courier New" w:cs="Courier New" w:hint="default"/>
      </w:rPr>
    </w:lvl>
    <w:lvl w:ilvl="8" w:tplc="0844924C">
      <w:start w:val="1"/>
      <w:numFmt w:val="bullet"/>
      <w:lvlText w:val=""/>
      <w:lvlJc w:val="left"/>
      <w:pPr>
        <w:ind w:left="6480" w:hanging="360"/>
      </w:pPr>
      <w:rPr>
        <w:rFonts w:ascii="Wingdings" w:hAnsi="Wingdings" w:hint="default"/>
      </w:rPr>
    </w:lvl>
  </w:abstractNum>
  <w:abstractNum w:abstractNumId="25">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6">
    <w:nsid w:val="38130038"/>
    <w:multiLevelType w:val="hybridMultilevel"/>
    <w:tmpl w:val="FF8A0FAE"/>
    <w:lvl w:ilvl="0" w:tplc="A99C6B70">
      <w:start w:val="1"/>
      <w:numFmt w:val="bullet"/>
      <w:pStyle w:val="ClauseBullet2"/>
      <w:lvlText w:val=""/>
      <w:lvlJc w:val="left"/>
      <w:pPr>
        <w:ind w:left="1440" w:hanging="360"/>
      </w:pPr>
      <w:rPr>
        <w:rFonts w:ascii="Symbol" w:hAnsi="Symbol" w:hint="default"/>
        <w:color w:val="000000"/>
      </w:rPr>
    </w:lvl>
    <w:lvl w:ilvl="1" w:tplc="FF14522E" w:tentative="1">
      <w:start w:val="1"/>
      <w:numFmt w:val="bullet"/>
      <w:lvlText w:val="o"/>
      <w:lvlJc w:val="left"/>
      <w:pPr>
        <w:ind w:left="2160" w:hanging="360"/>
      </w:pPr>
      <w:rPr>
        <w:rFonts w:ascii="Courier New" w:hAnsi="Courier New" w:cs="Courier New" w:hint="default"/>
      </w:rPr>
    </w:lvl>
    <w:lvl w:ilvl="2" w:tplc="2A5C646C" w:tentative="1">
      <w:start w:val="1"/>
      <w:numFmt w:val="bullet"/>
      <w:lvlText w:val=""/>
      <w:lvlJc w:val="left"/>
      <w:pPr>
        <w:ind w:left="2880" w:hanging="360"/>
      </w:pPr>
      <w:rPr>
        <w:rFonts w:ascii="Wingdings" w:hAnsi="Wingdings" w:hint="default"/>
      </w:rPr>
    </w:lvl>
    <w:lvl w:ilvl="3" w:tplc="0764E0C8" w:tentative="1">
      <w:start w:val="1"/>
      <w:numFmt w:val="bullet"/>
      <w:lvlText w:val=""/>
      <w:lvlJc w:val="left"/>
      <w:pPr>
        <w:ind w:left="3600" w:hanging="360"/>
      </w:pPr>
      <w:rPr>
        <w:rFonts w:ascii="Symbol" w:hAnsi="Symbol" w:hint="default"/>
      </w:rPr>
    </w:lvl>
    <w:lvl w:ilvl="4" w:tplc="E6D8B298" w:tentative="1">
      <w:start w:val="1"/>
      <w:numFmt w:val="bullet"/>
      <w:lvlText w:val="o"/>
      <w:lvlJc w:val="left"/>
      <w:pPr>
        <w:ind w:left="4320" w:hanging="360"/>
      </w:pPr>
      <w:rPr>
        <w:rFonts w:ascii="Courier New" w:hAnsi="Courier New" w:cs="Courier New" w:hint="default"/>
      </w:rPr>
    </w:lvl>
    <w:lvl w:ilvl="5" w:tplc="0936C772" w:tentative="1">
      <w:start w:val="1"/>
      <w:numFmt w:val="bullet"/>
      <w:lvlText w:val=""/>
      <w:lvlJc w:val="left"/>
      <w:pPr>
        <w:ind w:left="5040" w:hanging="360"/>
      </w:pPr>
      <w:rPr>
        <w:rFonts w:ascii="Wingdings" w:hAnsi="Wingdings" w:hint="default"/>
      </w:rPr>
    </w:lvl>
    <w:lvl w:ilvl="6" w:tplc="F2FA29DE" w:tentative="1">
      <w:start w:val="1"/>
      <w:numFmt w:val="bullet"/>
      <w:lvlText w:val=""/>
      <w:lvlJc w:val="left"/>
      <w:pPr>
        <w:ind w:left="5760" w:hanging="360"/>
      </w:pPr>
      <w:rPr>
        <w:rFonts w:ascii="Symbol" w:hAnsi="Symbol" w:hint="default"/>
      </w:rPr>
    </w:lvl>
    <w:lvl w:ilvl="7" w:tplc="7EA4B9A4" w:tentative="1">
      <w:start w:val="1"/>
      <w:numFmt w:val="bullet"/>
      <w:lvlText w:val="o"/>
      <w:lvlJc w:val="left"/>
      <w:pPr>
        <w:ind w:left="6480" w:hanging="360"/>
      </w:pPr>
      <w:rPr>
        <w:rFonts w:ascii="Courier New" w:hAnsi="Courier New" w:cs="Courier New" w:hint="default"/>
      </w:rPr>
    </w:lvl>
    <w:lvl w:ilvl="8" w:tplc="51CA38D6" w:tentative="1">
      <w:start w:val="1"/>
      <w:numFmt w:val="bullet"/>
      <w:lvlText w:val=""/>
      <w:lvlJc w:val="left"/>
      <w:pPr>
        <w:ind w:left="7200" w:hanging="360"/>
      </w:pPr>
      <w:rPr>
        <w:rFonts w:ascii="Wingdings" w:hAnsi="Wingdings" w:hint="default"/>
      </w:rPr>
    </w:lvl>
  </w:abstractNum>
  <w:abstractNum w:abstractNumId="27">
    <w:nsid w:val="3C025E95"/>
    <w:multiLevelType w:val="multilevel"/>
    <w:tmpl w:val="AAB8C5E8"/>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2E6DC1"/>
    <w:multiLevelType w:val="hybridMultilevel"/>
    <w:tmpl w:val="8AAEB3E8"/>
    <w:lvl w:ilvl="0" w:tplc="0A0EFCFA">
      <w:start w:val="1"/>
      <w:numFmt w:val="bullet"/>
      <w:lvlText w:val=""/>
      <w:lvlJc w:val="left"/>
      <w:pPr>
        <w:ind w:left="720" w:hanging="360"/>
      </w:pPr>
      <w:rPr>
        <w:rFonts w:ascii="Symbol" w:hAnsi="Symbol" w:hint="default"/>
        <w:color w:val="000000"/>
      </w:rPr>
    </w:lvl>
    <w:lvl w:ilvl="1" w:tplc="BBCE81DE" w:tentative="1">
      <w:start w:val="1"/>
      <w:numFmt w:val="bullet"/>
      <w:lvlText w:val="o"/>
      <w:lvlJc w:val="left"/>
      <w:pPr>
        <w:ind w:left="1440" w:hanging="360"/>
      </w:pPr>
      <w:rPr>
        <w:rFonts w:ascii="Courier New" w:hAnsi="Courier New" w:cs="Courier New" w:hint="default"/>
      </w:rPr>
    </w:lvl>
    <w:lvl w:ilvl="2" w:tplc="BBF06C1C" w:tentative="1">
      <w:start w:val="1"/>
      <w:numFmt w:val="bullet"/>
      <w:lvlText w:val=""/>
      <w:lvlJc w:val="left"/>
      <w:pPr>
        <w:ind w:left="2160" w:hanging="360"/>
      </w:pPr>
      <w:rPr>
        <w:rFonts w:ascii="Wingdings" w:hAnsi="Wingdings" w:hint="default"/>
      </w:rPr>
    </w:lvl>
    <w:lvl w:ilvl="3" w:tplc="06567A2E" w:tentative="1">
      <w:start w:val="1"/>
      <w:numFmt w:val="bullet"/>
      <w:lvlText w:val=""/>
      <w:lvlJc w:val="left"/>
      <w:pPr>
        <w:ind w:left="2880" w:hanging="360"/>
      </w:pPr>
      <w:rPr>
        <w:rFonts w:ascii="Symbol" w:hAnsi="Symbol" w:hint="default"/>
      </w:rPr>
    </w:lvl>
    <w:lvl w:ilvl="4" w:tplc="C51C4BBE" w:tentative="1">
      <w:start w:val="1"/>
      <w:numFmt w:val="bullet"/>
      <w:lvlText w:val="o"/>
      <w:lvlJc w:val="left"/>
      <w:pPr>
        <w:ind w:left="3600" w:hanging="360"/>
      </w:pPr>
      <w:rPr>
        <w:rFonts w:ascii="Courier New" w:hAnsi="Courier New" w:cs="Courier New" w:hint="default"/>
      </w:rPr>
    </w:lvl>
    <w:lvl w:ilvl="5" w:tplc="2976F3E2" w:tentative="1">
      <w:start w:val="1"/>
      <w:numFmt w:val="bullet"/>
      <w:lvlText w:val=""/>
      <w:lvlJc w:val="left"/>
      <w:pPr>
        <w:ind w:left="4320" w:hanging="360"/>
      </w:pPr>
      <w:rPr>
        <w:rFonts w:ascii="Wingdings" w:hAnsi="Wingdings" w:hint="default"/>
      </w:rPr>
    </w:lvl>
    <w:lvl w:ilvl="6" w:tplc="E056DB62" w:tentative="1">
      <w:start w:val="1"/>
      <w:numFmt w:val="bullet"/>
      <w:lvlText w:val=""/>
      <w:lvlJc w:val="left"/>
      <w:pPr>
        <w:ind w:left="5040" w:hanging="360"/>
      </w:pPr>
      <w:rPr>
        <w:rFonts w:ascii="Symbol" w:hAnsi="Symbol" w:hint="default"/>
      </w:rPr>
    </w:lvl>
    <w:lvl w:ilvl="7" w:tplc="E5941F9E" w:tentative="1">
      <w:start w:val="1"/>
      <w:numFmt w:val="bullet"/>
      <w:lvlText w:val="o"/>
      <w:lvlJc w:val="left"/>
      <w:pPr>
        <w:ind w:left="5760" w:hanging="360"/>
      </w:pPr>
      <w:rPr>
        <w:rFonts w:ascii="Courier New" w:hAnsi="Courier New" w:cs="Courier New" w:hint="default"/>
      </w:rPr>
    </w:lvl>
    <w:lvl w:ilvl="8" w:tplc="77EE8378" w:tentative="1">
      <w:start w:val="1"/>
      <w:numFmt w:val="bullet"/>
      <w:lvlText w:val=""/>
      <w:lvlJc w:val="left"/>
      <w:pPr>
        <w:ind w:left="6480" w:hanging="360"/>
      </w:pPr>
      <w:rPr>
        <w:rFonts w:ascii="Wingdings" w:hAnsi="Wingdings" w:hint="default"/>
      </w:rPr>
    </w:lvl>
  </w:abstractNum>
  <w:abstractNum w:abstractNumId="29">
    <w:nsid w:val="44D67987"/>
    <w:multiLevelType w:val="hybridMultilevel"/>
    <w:tmpl w:val="EBD6FB80"/>
    <w:lvl w:ilvl="0" w:tplc="139228AE">
      <w:start w:val="1"/>
      <w:numFmt w:val="bullet"/>
      <w:pStyle w:val="subclause1Bullet2"/>
      <w:lvlText w:val=""/>
      <w:lvlJc w:val="left"/>
      <w:pPr>
        <w:ind w:left="1440" w:hanging="360"/>
      </w:pPr>
      <w:rPr>
        <w:rFonts w:ascii="Symbol" w:hAnsi="Symbol" w:hint="default"/>
        <w:color w:val="000000"/>
      </w:rPr>
    </w:lvl>
    <w:lvl w:ilvl="1" w:tplc="04B6F310" w:tentative="1">
      <w:start w:val="1"/>
      <w:numFmt w:val="bullet"/>
      <w:lvlText w:val="o"/>
      <w:lvlJc w:val="left"/>
      <w:pPr>
        <w:ind w:left="2160" w:hanging="360"/>
      </w:pPr>
      <w:rPr>
        <w:rFonts w:ascii="Courier New" w:hAnsi="Courier New" w:cs="Courier New" w:hint="default"/>
      </w:rPr>
    </w:lvl>
    <w:lvl w:ilvl="2" w:tplc="2DC2F180" w:tentative="1">
      <w:start w:val="1"/>
      <w:numFmt w:val="bullet"/>
      <w:lvlText w:val=""/>
      <w:lvlJc w:val="left"/>
      <w:pPr>
        <w:ind w:left="2880" w:hanging="360"/>
      </w:pPr>
      <w:rPr>
        <w:rFonts w:ascii="Wingdings" w:hAnsi="Wingdings" w:hint="default"/>
      </w:rPr>
    </w:lvl>
    <w:lvl w:ilvl="3" w:tplc="5AAC0074" w:tentative="1">
      <w:start w:val="1"/>
      <w:numFmt w:val="bullet"/>
      <w:lvlText w:val=""/>
      <w:lvlJc w:val="left"/>
      <w:pPr>
        <w:ind w:left="3600" w:hanging="360"/>
      </w:pPr>
      <w:rPr>
        <w:rFonts w:ascii="Symbol" w:hAnsi="Symbol" w:hint="default"/>
      </w:rPr>
    </w:lvl>
    <w:lvl w:ilvl="4" w:tplc="AA480F22" w:tentative="1">
      <w:start w:val="1"/>
      <w:numFmt w:val="bullet"/>
      <w:lvlText w:val="o"/>
      <w:lvlJc w:val="left"/>
      <w:pPr>
        <w:ind w:left="4320" w:hanging="360"/>
      </w:pPr>
      <w:rPr>
        <w:rFonts w:ascii="Courier New" w:hAnsi="Courier New" w:cs="Courier New" w:hint="default"/>
      </w:rPr>
    </w:lvl>
    <w:lvl w:ilvl="5" w:tplc="F604C294" w:tentative="1">
      <w:start w:val="1"/>
      <w:numFmt w:val="bullet"/>
      <w:lvlText w:val=""/>
      <w:lvlJc w:val="left"/>
      <w:pPr>
        <w:ind w:left="5040" w:hanging="360"/>
      </w:pPr>
      <w:rPr>
        <w:rFonts w:ascii="Wingdings" w:hAnsi="Wingdings" w:hint="default"/>
      </w:rPr>
    </w:lvl>
    <w:lvl w:ilvl="6" w:tplc="5B9A7992" w:tentative="1">
      <w:start w:val="1"/>
      <w:numFmt w:val="bullet"/>
      <w:lvlText w:val=""/>
      <w:lvlJc w:val="left"/>
      <w:pPr>
        <w:ind w:left="5760" w:hanging="360"/>
      </w:pPr>
      <w:rPr>
        <w:rFonts w:ascii="Symbol" w:hAnsi="Symbol" w:hint="default"/>
      </w:rPr>
    </w:lvl>
    <w:lvl w:ilvl="7" w:tplc="6928BF6C" w:tentative="1">
      <w:start w:val="1"/>
      <w:numFmt w:val="bullet"/>
      <w:lvlText w:val="o"/>
      <w:lvlJc w:val="left"/>
      <w:pPr>
        <w:ind w:left="6480" w:hanging="360"/>
      </w:pPr>
      <w:rPr>
        <w:rFonts w:ascii="Courier New" w:hAnsi="Courier New" w:cs="Courier New" w:hint="default"/>
      </w:rPr>
    </w:lvl>
    <w:lvl w:ilvl="8" w:tplc="0B4A97D4" w:tentative="1">
      <w:start w:val="1"/>
      <w:numFmt w:val="bullet"/>
      <w:lvlText w:val=""/>
      <w:lvlJc w:val="left"/>
      <w:pPr>
        <w:ind w:left="7200" w:hanging="360"/>
      </w:pPr>
      <w:rPr>
        <w:rFonts w:ascii="Wingdings" w:hAnsi="Wingdings" w:hint="default"/>
      </w:rPr>
    </w:lvl>
  </w:abstractNum>
  <w:abstractNum w:abstractNumId="30">
    <w:nsid w:val="44E96665"/>
    <w:multiLevelType w:val="hybridMultilevel"/>
    <w:tmpl w:val="EF1E142A"/>
    <w:lvl w:ilvl="0" w:tplc="C908D99E">
      <w:start w:val="1"/>
      <w:numFmt w:val="bullet"/>
      <w:pStyle w:val="subclause3Bullet1"/>
      <w:lvlText w:val=""/>
      <w:lvlJc w:val="left"/>
      <w:pPr>
        <w:ind w:left="2988" w:hanging="360"/>
      </w:pPr>
      <w:rPr>
        <w:rFonts w:ascii="Symbol" w:hAnsi="Symbol" w:hint="default"/>
        <w:color w:val="000000"/>
      </w:rPr>
    </w:lvl>
    <w:lvl w:ilvl="1" w:tplc="1FF8B41C" w:tentative="1">
      <w:start w:val="1"/>
      <w:numFmt w:val="bullet"/>
      <w:lvlText w:val="o"/>
      <w:lvlJc w:val="left"/>
      <w:pPr>
        <w:ind w:left="3708" w:hanging="360"/>
      </w:pPr>
      <w:rPr>
        <w:rFonts w:ascii="Courier New" w:hAnsi="Courier New" w:cs="Courier New" w:hint="default"/>
      </w:rPr>
    </w:lvl>
    <w:lvl w:ilvl="2" w:tplc="37B81D64" w:tentative="1">
      <w:start w:val="1"/>
      <w:numFmt w:val="bullet"/>
      <w:lvlText w:val=""/>
      <w:lvlJc w:val="left"/>
      <w:pPr>
        <w:ind w:left="4428" w:hanging="360"/>
      </w:pPr>
      <w:rPr>
        <w:rFonts w:ascii="Wingdings" w:hAnsi="Wingdings" w:hint="default"/>
      </w:rPr>
    </w:lvl>
    <w:lvl w:ilvl="3" w:tplc="D7349440" w:tentative="1">
      <w:start w:val="1"/>
      <w:numFmt w:val="bullet"/>
      <w:lvlText w:val=""/>
      <w:lvlJc w:val="left"/>
      <w:pPr>
        <w:ind w:left="5148" w:hanging="360"/>
      </w:pPr>
      <w:rPr>
        <w:rFonts w:ascii="Symbol" w:hAnsi="Symbol" w:hint="default"/>
      </w:rPr>
    </w:lvl>
    <w:lvl w:ilvl="4" w:tplc="E7346D54" w:tentative="1">
      <w:start w:val="1"/>
      <w:numFmt w:val="bullet"/>
      <w:lvlText w:val="o"/>
      <w:lvlJc w:val="left"/>
      <w:pPr>
        <w:ind w:left="5868" w:hanging="360"/>
      </w:pPr>
      <w:rPr>
        <w:rFonts w:ascii="Courier New" w:hAnsi="Courier New" w:cs="Courier New" w:hint="default"/>
      </w:rPr>
    </w:lvl>
    <w:lvl w:ilvl="5" w:tplc="8B4448A6" w:tentative="1">
      <w:start w:val="1"/>
      <w:numFmt w:val="bullet"/>
      <w:lvlText w:val=""/>
      <w:lvlJc w:val="left"/>
      <w:pPr>
        <w:ind w:left="6588" w:hanging="360"/>
      </w:pPr>
      <w:rPr>
        <w:rFonts w:ascii="Wingdings" w:hAnsi="Wingdings" w:hint="default"/>
      </w:rPr>
    </w:lvl>
    <w:lvl w:ilvl="6" w:tplc="56CAFE42" w:tentative="1">
      <w:start w:val="1"/>
      <w:numFmt w:val="bullet"/>
      <w:lvlText w:val=""/>
      <w:lvlJc w:val="left"/>
      <w:pPr>
        <w:ind w:left="7308" w:hanging="360"/>
      </w:pPr>
      <w:rPr>
        <w:rFonts w:ascii="Symbol" w:hAnsi="Symbol" w:hint="default"/>
      </w:rPr>
    </w:lvl>
    <w:lvl w:ilvl="7" w:tplc="D1F2B2EC" w:tentative="1">
      <w:start w:val="1"/>
      <w:numFmt w:val="bullet"/>
      <w:lvlText w:val="o"/>
      <w:lvlJc w:val="left"/>
      <w:pPr>
        <w:ind w:left="8028" w:hanging="360"/>
      </w:pPr>
      <w:rPr>
        <w:rFonts w:ascii="Courier New" w:hAnsi="Courier New" w:cs="Courier New" w:hint="default"/>
      </w:rPr>
    </w:lvl>
    <w:lvl w:ilvl="8" w:tplc="B2BC4312" w:tentative="1">
      <w:start w:val="1"/>
      <w:numFmt w:val="bullet"/>
      <w:lvlText w:val=""/>
      <w:lvlJc w:val="left"/>
      <w:pPr>
        <w:ind w:left="8748" w:hanging="360"/>
      </w:pPr>
      <w:rPr>
        <w:rFonts w:ascii="Wingdings" w:hAnsi="Wingdings" w:hint="default"/>
      </w:rPr>
    </w:lvl>
  </w:abstractNum>
  <w:abstractNum w:abstractNumId="31">
    <w:nsid w:val="46AC04C6"/>
    <w:multiLevelType w:val="hybridMultilevel"/>
    <w:tmpl w:val="E6C47700"/>
    <w:lvl w:ilvl="0" w:tplc="7876A1F6">
      <w:start w:val="1"/>
      <w:numFmt w:val="bullet"/>
      <w:pStyle w:val="subclause2Bullet1"/>
      <w:lvlText w:val=""/>
      <w:lvlJc w:val="left"/>
      <w:pPr>
        <w:ind w:left="2279" w:hanging="360"/>
      </w:pPr>
      <w:rPr>
        <w:rFonts w:ascii="Symbol" w:hAnsi="Symbol" w:hint="default"/>
        <w:color w:val="000000"/>
      </w:rPr>
    </w:lvl>
    <w:lvl w:ilvl="1" w:tplc="ECF044F4" w:tentative="1">
      <w:start w:val="1"/>
      <w:numFmt w:val="bullet"/>
      <w:lvlText w:val="o"/>
      <w:lvlJc w:val="left"/>
      <w:pPr>
        <w:ind w:left="2999" w:hanging="360"/>
      </w:pPr>
      <w:rPr>
        <w:rFonts w:ascii="Courier New" w:hAnsi="Courier New" w:cs="Courier New" w:hint="default"/>
      </w:rPr>
    </w:lvl>
    <w:lvl w:ilvl="2" w:tplc="A490D6CC" w:tentative="1">
      <w:start w:val="1"/>
      <w:numFmt w:val="bullet"/>
      <w:lvlText w:val=""/>
      <w:lvlJc w:val="left"/>
      <w:pPr>
        <w:ind w:left="3719" w:hanging="360"/>
      </w:pPr>
      <w:rPr>
        <w:rFonts w:ascii="Wingdings" w:hAnsi="Wingdings" w:hint="default"/>
      </w:rPr>
    </w:lvl>
    <w:lvl w:ilvl="3" w:tplc="DE92014A" w:tentative="1">
      <w:start w:val="1"/>
      <w:numFmt w:val="bullet"/>
      <w:lvlText w:val=""/>
      <w:lvlJc w:val="left"/>
      <w:pPr>
        <w:ind w:left="4439" w:hanging="360"/>
      </w:pPr>
      <w:rPr>
        <w:rFonts w:ascii="Symbol" w:hAnsi="Symbol" w:hint="default"/>
      </w:rPr>
    </w:lvl>
    <w:lvl w:ilvl="4" w:tplc="C2C45812" w:tentative="1">
      <w:start w:val="1"/>
      <w:numFmt w:val="bullet"/>
      <w:lvlText w:val="o"/>
      <w:lvlJc w:val="left"/>
      <w:pPr>
        <w:ind w:left="5159" w:hanging="360"/>
      </w:pPr>
      <w:rPr>
        <w:rFonts w:ascii="Courier New" w:hAnsi="Courier New" w:cs="Courier New" w:hint="default"/>
      </w:rPr>
    </w:lvl>
    <w:lvl w:ilvl="5" w:tplc="FCECB76C" w:tentative="1">
      <w:start w:val="1"/>
      <w:numFmt w:val="bullet"/>
      <w:lvlText w:val=""/>
      <w:lvlJc w:val="left"/>
      <w:pPr>
        <w:ind w:left="5879" w:hanging="360"/>
      </w:pPr>
      <w:rPr>
        <w:rFonts w:ascii="Wingdings" w:hAnsi="Wingdings" w:hint="default"/>
      </w:rPr>
    </w:lvl>
    <w:lvl w:ilvl="6" w:tplc="2B1E760A" w:tentative="1">
      <w:start w:val="1"/>
      <w:numFmt w:val="bullet"/>
      <w:lvlText w:val=""/>
      <w:lvlJc w:val="left"/>
      <w:pPr>
        <w:ind w:left="6599" w:hanging="360"/>
      </w:pPr>
      <w:rPr>
        <w:rFonts w:ascii="Symbol" w:hAnsi="Symbol" w:hint="default"/>
      </w:rPr>
    </w:lvl>
    <w:lvl w:ilvl="7" w:tplc="E9A4ECC6" w:tentative="1">
      <w:start w:val="1"/>
      <w:numFmt w:val="bullet"/>
      <w:lvlText w:val="o"/>
      <w:lvlJc w:val="left"/>
      <w:pPr>
        <w:ind w:left="7319" w:hanging="360"/>
      </w:pPr>
      <w:rPr>
        <w:rFonts w:ascii="Courier New" w:hAnsi="Courier New" w:cs="Courier New" w:hint="default"/>
      </w:rPr>
    </w:lvl>
    <w:lvl w:ilvl="8" w:tplc="E958695E" w:tentative="1">
      <w:start w:val="1"/>
      <w:numFmt w:val="bullet"/>
      <w:lvlText w:val=""/>
      <w:lvlJc w:val="left"/>
      <w:pPr>
        <w:ind w:left="8039" w:hanging="360"/>
      </w:pPr>
      <w:rPr>
        <w:rFonts w:ascii="Wingdings" w:hAnsi="Wingdings" w:hint="default"/>
      </w:rPr>
    </w:lvl>
  </w:abstractNum>
  <w:abstractNum w:abstractNumId="32">
    <w:nsid w:val="47F42723"/>
    <w:multiLevelType w:val="hybridMultilevel"/>
    <w:tmpl w:val="C5A02EE6"/>
    <w:lvl w:ilvl="0" w:tplc="2542C0A0">
      <w:start w:val="1"/>
      <w:numFmt w:val="bullet"/>
      <w:pStyle w:val="subclause1Bullet1"/>
      <w:lvlText w:val=""/>
      <w:lvlJc w:val="left"/>
      <w:pPr>
        <w:ind w:left="1440" w:hanging="360"/>
      </w:pPr>
      <w:rPr>
        <w:rFonts w:ascii="Symbol" w:hAnsi="Symbol" w:hint="default"/>
        <w:color w:val="000000"/>
      </w:rPr>
    </w:lvl>
    <w:lvl w:ilvl="1" w:tplc="3D008870" w:tentative="1">
      <w:start w:val="1"/>
      <w:numFmt w:val="bullet"/>
      <w:lvlText w:val="o"/>
      <w:lvlJc w:val="left"/>
      <w:pPr>
        <w:ind w:left="2160" w:hanging="360"/>
      </w:pPr>
      <w:rPr>
        <w:rFonts w:ascii="Courier New" w:hAnsi="Courier New" w:cs="Courier New" w:hint="default"/>
      </w:rPr>
    </w:lvl>
    <w:lvl w:ilvl="2" w:tplc="B9684502" w:tentative="1">
      <w:start w:val="1"/>
      <w:numFmt w:val="bullet"/>
      <w:lvlText w:val=""/>
      <w:lvlJc w:val="left"/>
      <w:pPr>
        <w:ind w:left="2880" w:hanging="360"/>
      </w:pPr>
      <w:rPr>
        <w:rFonts w:ascii="Wingdings" w:hAnsi="Wingdings" w:hint="default"/>
      </w:rPr>
    </w:lvl>
    <w:lvl w:ilvl="3" w:tplc="EE56DDCA" w:tentative="1">
      <w:start w:val="1"/>
      <w:numFmt w:val="bullet"/>
      <w:lvlText w:val=""/>
      <w:lvlJc w:val="left"/>
      <w:pPr>
        <w:ind w:left="3600" w:hanging="360"/>
      </w:pPr>
      <w:rPr>
        <w:rFonts w:ascii="Symbol" w:hAnsi="Symbol" w:hint="default"/>
      </w:rPr>
    </w:lvl>
    <w:lvl w:ilvl="4" w:tplc="332437A0" w:tentative="1">
      <w:start w:val="1"/>
      <w:numFmt w:val="bullet"/>
      <w:lvlText w:val="o"/>
      <w:lvlJc w:val="left"/>
      <w:pPr>
        <w:ind w:left="4320" w:hanging="360"/>
      </w:pPr>
      <w:rPr>
        <w:rFonts w:ascii="Courier New" w:hAnsi="Courier New" w:cs="Courier New" w:hint="default"/>
      </w:rPr>
    </w:lvl>
    <w:lvl w:ilvl="5" w:tplc="822438F2" w:tentative="1">
      <w:start w:val="1"/>
      <w:numFmt w:val="bullet"/>
      <w:lvlText w:val=""/>
      <w:lvlJc w:val="left"/>
      <w:pPr>
        <w:ind w:left="5040" w:hanging="360"/>
      </w:pPr>
      <w:rPr>
        <w:rFonts w:ascii="Wingdings" w:hAnsi="Wingdings" w:hint="default"/>
      </w:rPr>
    </w:lvl>
    <w:lvl w:ilvl="6" w:tplc="0F0EEACE" w:tentative="1">
      <w:start w:val="1"/>
      <w:numFmt w:val="bullet"/>
      <w:lvlText w:val=""/>
      <w:lvlJc w:val="left"/>
      <w:pPr>
        <w:ind w:left="5760" w:hanging="360"/>
      </w:pPr>
      <w:rPr>
        <w:rFonts w:ascii="Symbol" w:hAnsi="Symbol" w:hint="default"/>
      </w:rPr>
    </w:lvl>
    <w:lvl w:ilvl="7" w:tplc="803E3D8E" w:tentative="1">
      <w:start w:val="1"/>
      <w:numFmt w:val="bullet"/>
      <w:lvlText w:val="o"/>
      <w:lvlJc w:val="left"/>
      <w:pPr>
        <w:ind w:left="6480" w:hanging="360"/>
      </w:pPr>
      <w:rPr>
        <w:rFonts w:ascii="Courier New" w:hAnsi="Courier New" w:cs="Courier New" w:hint="default"/>
      </w:rPr>
    </w:lvl>
    <w:lvl w:ilvl="8" w:tplc="00FAB050" w:tentative="1">
      <w:start w:val="1"/>
      <w:numFmt w:val="bullet"/>
      <w:lvlText w:val=""/>
      <w:lvlJc w:val="left"/>
      <w:pPr>
        <w:ind w:left="7200" w:hanging="360"/>
      </w:pPr>
      <w:rPr>
        <w:rFonts w:ascii="Wingdings" w:hAnsi="Wingdings" w:hint="default"/>
      </w:rPr>
    </w:lvl>
  </w:abstractNum>
  <w:abstractNum w:abstractNumId="33">
    <w:nsid w:val="55CB0AF0"/>
    <w:multiLevelType w:val="hybridMultilevel"/>
    <w:tmpl w:val="EB98B43A"/>
    <w:lvl w:ilvl="0" w:tplc="54BAF2FC">
      <w:start w:val="1"/>
      <w:numFmt w:val="decimal"/>
      <w:pStyle w:val="LongQuestionPara"/>
      <w:lvlText w:val="%1."/>
      <w:lvlJc w:val="left"/>
      <w:pPr>
        <w:ind w:left="360" w:hanging="360"/>
      </w:pPr>
      <w:rPr>
        <w:rFonts w:hint="default"/>
        <w:b/>
        <w:i w:val="0"/>
        <w:color w:val="000000"/>
        <w:sz w:val="24"/>
      </w:rPr>
    </w:lvl>
    <w:lvl w:ilvl="1" w:tplc="766EE504" w:tentative="1">
      <w:start w:val="1"/>
      <w:numFmt w:val="lowerLetter"/>
      <w:lvlText w:val="%2."/>
      <w:lvlJc w:val="left"/>
      <w:pPr>
        <w:ind w:left="1440" w:hanging="360"/>
      </w:pPr>
    </w:lvl>
    <w:lvl w:ilvl="2" w:tplc="5CC4530A" w:tentative="1">
      <w:start w:val="1"/>
      <w:numFmt w:val="lowerRoman"/>
      <w:lvlText w:val="%3."/>
      <w:lvlJc w:val="right"/>
      <w:pPr>
        <w:ind w:left="2160" w:hanging="180"/>
      </w:pPr>
    </w:lvl>
    <w:lvl w:ilvl="3" w:tplc="015470B4" w:tentative="1">
      <w:start w:val="1"/>
      <w:numFmt w:val="decimal"/>
      <w:lvlText w:val="%4."/>
      <w:lvlJc w:val="left"/>
      <w:pPr>
        <w:ind w:left="2880" w:hanging="360"/>
      </w:pPr>
    </w:lvl>
    <w:lvl w:ilvl="4" w:tplc="0BBA642C" w:tentative="1">
      <w:start w:val="1"/>
      <w:numFmt w:val="lowerLetter"/>
      <w:lvlText w:val="%5."/>
      <w:lvlJc w:val="left"/>
      <w:pPr>
        <w:ind w:left="3600" w:hanging="360"/>
      </w:pPr>
    </w:lvl>
    <w:lvl w:ilvl="5" w:tplc="7AFA3936" w:tentative="1">
      <w:start w:val="1"/>
      <w:numFmt w:val="lowerRoman"/>
      <w:lvlText w:val="%6."/>
      <w:lvlJc w:val="right"/>
      <w:pPr>
        <w:ind w:left="4320" w:hanging="180"/>
      </w:pPr>
    </w:lvl>
    <w:lvl w:ilvl="6" w:tplc="49D27F20" w:tentative="1">
      <w:start w:val="1"/>
      <w:numFmt w:val="decimal"/>
      <w:lvlText w:val="%7."/>
      <w:lvlJc w:val="left"/>
      <w:pPr>
        <w:ind w:left="5040" w:hanging="360"/>
      </w:pPr>
    </w:lvl>
    <w:lvl w:ilvl="7" w:tplc="8E443B56" w:tentative="1">
      <w:start w:val="1"/>
      <w:numFmt w:val="lowerLetter"/>
      <w:lvlText w:val="%8."/>
      <w:lvlJc w:val="left"/>
      <w:pPr>
        <w:ind w:left="5760" w:hanging="360"/>
      </w:pPr>
    </w:lvl>
    <w:lvl w:ilvl="8" w:tplc="9A66E18C" w:tentative="1">
      <w:start w:val="1"/>
      <w:numFmt w:val="lowerRoman"/>
      <w:lvlText w:val="%9."/>
      <w:lvlJc w:val="right"/>
      <w:pPr>
        <w:ind w:left="6480" w:hanging="180"/>
      </w:pPr>
    </w:lvl>
  </w:abstractNum>
  <w:abstractNum w:abstractNumId="34">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5">
    <w:nsid w:val="5D206610"/>
    <w:multiLevelType w:val="hybridMultilevel"/>
    <w:tmpl w:val="31700046"/>
    <w:lvl w:ilvl="0" w:tplc="8B8CE0C8">
      <w:start w:val="1"/>
      <w:numFmt w:val="lowerLetter"/>
      <w:lvlText w:val="(%1)"/>
      <w:lvlJc w:val="left"/>
      <w:pPr>
        <w:ind w:left="1440" w:hanging="360"/>
      </w:pPr>
      <w:rPr>
        <w:rFonts w:hint="default"/>
        <w:color w:val="000000"/>
      </w:rPr>
    </w:lvl>
    <w:lvl w:ilvl="1" w:tplc="EF342FF0" w:tentative="1">
      <w:start w:val="1"/>
      <w:numFmt w:val="lowerLetter"/>
      <w:lvlText w:val="%2."/>
      <w:lvlJc w:val="left"/>
      <w:pPr>
        <w:ind w:left="2160" w:hanging="360"/>
      </w:pPr>
    </w:lvl>
    <w:lvl w:ilvl="2" w:tplc="5412B3EC" w:tentative="1">
      <w:start w:val="1"/>
      <w:numFmt w:val="lowerRoman"/>
      <w:lvlText w:val="%3."/>
      <w:lvlJc w:val="right"/>
      <w:pPr>
        <w:ind w:left="2880" w:hanging="180"/>
      </w:pPr>
    </w:lvl>
    <w:lvl w:ilvl="3" w:tplc="FDBA7432" w:tentative="1">
      <w:start w:val="1"/>
      <w:numFmt w:val="decimal"/>
      <w:lvlText w:val="%4."/>
      <w:lvlJc w:val="left"/>
      <w:pPr>
        <w:ind w:left="3600" w:hanging="360"/>
      </w:pPr>
    </w:lvl>
    <w:lvl w:ilvl="4" w:tplc="0406AB96" w:tentative="1">
      <w:start w:val="1"/>
      <w:numFmt w:val="lowerLetter"/>
      <w:lvlText w:val="%5."/>
      <w:lvlJc w:val="left"/>
      <w:pPr>
        <w:ind w:left="4320" w:hanging="360"/>
      </w:pPr>
    </w:lvl>
    <w:lvl w:ilvl="5" w:tplc="05340606" w:tentative="1">
      <w:start w:val="1"/>
      <w:numFmt w:val="lowerRoman"/>
      <w:lvlText w:val="%6."/>
      <w:lvlJc w:val="right"/>
      <w:pPr>
        <w:ind w:left="5040" w:hanging="180"/>
      </w:pPr>
    </w:lvl>
    <w:lvl w:ilvl="6" w:tplc="70D28DBA" w:tentative="1">
      <w:start w:val="1"/>
      <w:numFmt w:val="decimal"/>
      <w:lvlText w:val="%7."/>
      <w:lvlJc w:val="left"/>
      <w:pPr>
        <w:ind w:left="5760" w:hanging="360"/>
      </w:pPr>
    </w:lvl>
    <w:lvl w:ilvl="7" w:tplc="95DA6DCA" w:tentative="1">
      <w:start w:val="1"/>
      <w:numFmt w:val="lowerLetter"/>
      <w:lvlText w:val="%8."/>
      <w:lvlJc w:val="left"/>
      <w:pPr>
        <w:ind w:left="6480" w:hanging="360"/>
      </w:pPr>
    </w:lvl>
    <w:lvl w:ilvl="8" w:tplc="59A21BD0" w:tentative="1">
      <w:start w:val="1"/>
      <w:numFmt w:val="lowerRoman"/>
      <w:lvlText w:val="%9."/>
      <w:lvlJc w:val="right"/>
      <w:pPr>
        <w:ind w:left="7200" w:hanging="180"/>
      </w:pPr>
    </w:lvl>
  </w:abstractNum>
  <w:abstractNum w:abstractNumId="36">
    <w:nsid w:val="61071422"/>
    <w:multiLevelType w:val="hybridMultilevel"/>
    <w:tmpl w:val="59B858D8"/>
    <w:lvl w:ilvl="0" w:tplc="F25A215C">
      <w:start w:val="1"/>
      <w:numFmt w:val="bullet"/>
      <w:pStyle w:val="ClauseBullet1"/>
      <w:lvlText w:val=""/>
      <w:lvlJc w:val="left"/>
      <w:pPr>
        <w:ind w:left="1080" w:hanging="360"/>
      </w:pPr>
      <w:rPr>
        <w:rFonts w:ascii="Symbol" w:hAnsi="Symbol" w:hint="default"/>
        <w:color w:val="000000"/>
      </w:rPr>
    </w:lvl>
    <w:lvl w:ilvl="1" w:tplc="18361342" w:tentative="1">
      <w:start w:val="1"/>
      <w:numFmt w:val="bullet"/>
      <w:lvlText w:val="o"/>
      <w:lvlJc w:val="left"/>
      <w:pPr>
        <w:ind w:left="1800" w:hanging="360"/>
      </w:pPr>
      <w:rPr>
        <w:rFonts w:ascii="Courier New" w:hAnsi="Courier New" w:cs="Courier New" w:hint="default"/>
      </w:rPr>
    </w:lvl>
    <w:lvl w:ilvl="2" w:tplc="1E4CA0BE" w:tentative="1">
      <w:start w:val="1"/>
      <w:numFmt w:val="bullet"/>
      <w:lvlText w:val=""/>
      <w:lvlJc w:val="left"/>
      <w:pPr>
        <w:ind w:left="2520" w:hanging="360"/>
      </w:pPr>
      <w:rPr>
        <w:rFonts w:ascii="Wingdings" w:hAnsi="Wingdings" w:hint="default"/>
      </w:rPr>
    </w:lvl>
    <w:lvl w:ilvl="3" w:tplc="3A509720" w:tentative="1">
      <w:start w:val="1"/>
      <w:numFmt w:val="bullet"/>
      <w:lvlText w:val=""/>
      <w:lvlJc w:val="left"/>
      <w:pPr>
        <w:ind w:left="3240" w:hanging="360"/>
      </w:pPr>
      <w:rPr>
        <w:rFonts w:ascii="Symbol" w:hAnsi="Symbol" w:hint="default"/>
      </w:rPr>
    </w:lvl>
    <w:lvl w:ilvl="4" w:tplc="0BC841E4" w:tentative="1">
      <w:start w:val="1"/>
      <w:numFmt w:val="bullet"/>
      <w:lvlText w:val="o"/>
      <w:lvlJc w:val="left"/>
      <w:pPr>
        <w:ind w:left="3960" w:hanging="360"/>
      </w:pPr>
      <w:rPr>
        <w:rFonts w:ascii="Courier New" w:hAnsi="Courier New" w:cs="Courier New" w:hint="default"/>
      </w:rPr>
    </w:lvl>
    <w:lvl w:ilvl="5" w:tplc="36B632D0" w:tentative="1">
      <w:start w:val="1"/>
      <w:numFmt w:val="bullet"/>
      <w:lvlText w:val=""/>
      <w:lvlJc w:val="left"/>
      <w:pPr>
        <w:ind w:left="4680" w:hanging="360"/>
      </w:pPr>
      <w:rPr>
        <w:rFonts w:ascii="Wingdings" w:hAnsi="Wingdings" w:hint="default"/>
      </w:rPr>
    </w:lvl>
    <w:lvl w:ilvl="6" w:tplc="B3FC4580" w:tentative="1">
      <w:start w:val="1"/>
      <w:numFmt w:val="bullet"/>
      <w:lvlText w:val=""/>
      <w:lvlJc w:val="left"/>
      <w:pPr>
        <w:ind w:left="5400" w:hanging="360"/>
      </w:pPr>
      <w:rPr>
        <w:rFonts w:ascii="Symbol" w:hAnsi="Symbol" w:hint="default"/>
      </w:rPr>
    </w:lvl>
    <w:lvl w:ilvl="7" w:tplc="BEA427C0" w:tentative="1">
      <w:start w:val="1"/>
      <w:numFmt w:val="bullet"/>
      <w:lvlText w:val="o"/>
      <w:lvlJc w:val="left"/>
      <w:pPr>
        <w:ind w:left="6120" w:hanging="360"/>
      </w:pPr>
      <w:rPr>
        <w:rFonts w:ascii="Courier New" w:hAnsi="Courier New" w:cs="Courier New" w:hint="default"/>
      </w:rPr>
    </w:lvl>
    <w:lvl w:ilvl="8" w:tplc="64547D6A" w:tentative="1">
      <w:start w:val="1"/>
      <w:numFmt w:val="bullet"/>
      <w:lvlText w:val=""/>
      <w:lvlJc w:val="left"/>
      <w:pPr>
        <w:ind w:left="6840" w:hanging="360"/>
      </w:pPr>
      <w:rPr>
        <w:rFonts w:ascii="Wingdings" w:hAnsi="Wingdings" w:hint="default"/>
      </w:rPr>
    </w:lvl>
  </w:abstractNum>
  <w:abstractNum w:abstractNumId="37">
    <w:nsid w:val="642371CD"/>
    <w:multiLevelType w:val="hybridMultilevel"/>
    <w:tmpl w:val="3B76A654"/>
    <w:lvl w:ilvl="0" w:tplc="B50E7EE2">
      <w:start w:val="1"/>
      <w:numFmt w:val="bullet"/>
      <w:pStyle w:val="subclause3Bullet2"/>
      <w:lvlText w:val=""/>
      <w:lvlJc w:val="left"/>
      <w:pPr>
        <w:ind w:left="3748" w:hanging="360"/>
      </w:pPr>
      <w:rPr>
        <w:rFonts w:ascii="Symbol" w:hAnsi="Symbol" w:hint="default"/>
        <w:color w:val="000000"/>
      </w:rPr>
    </w:lvl>
    <w:lvl w:ilvl="1" w:tplc="39667E78" w:tentative="1">
      <w:start w:val="1"/>
      <w:numFmt w:val="bullet"/>
      <w:lvlText w:val="o"/>
      <w:lvlJc w:val="left"/>
      <w:pPr>
        <w:ind w:left="4468" w:hanging="360"/>
      </w:pPr>
      <w:rPr>
        <w:rFonts w:ascii="Courier New" w:hAnsi="Courier New" w:cs="Courier New" w:hint="default"/>
      </w:rPr>
    </w:lvl>
    <w:lvl w:ilvl="2" w:tplc="3FAAEF04" w:tentative="1">
      <w:start w:val="1"/>
      <w:numFmt w:val="bullet"/>
      <w:lvlText w:val=""/>
      <w:lvlJc w:val="left"/>
      <w:pPr>
        <w:ind w:left="5188" w:hanging="360"/>
      </w:pPr>
      <w:rPr>
        <w:rFonts w:ascii="Wingdings" w:hAnsi="Wingdings" w:hint="default"/>
      </w:rPr>
    </w:lvl>
    <w:lvl w:ilvl="3" w:tplc="22BCE3CC" w:tentative="1">
      <w:start w:val="1"/>
      <w:numFmt w:val="bullet"/>
      <w:lvlText w:val=""/>
      <w:lvlJc w:val="left"/>
      <w:pPr>
        <w:ind w:left="5908" w:hanging="360"/>
      </w:pPr>
      <w:rPr>
        <w:rFonts w:ascii="Symbol" w:hAnsi="Symbol" w:hint="default"/>
      </w:rPr>
    </w:lvl>
    <w:lvl w:ilvl="4" w:tplc="916C512C" w:tentative="1">
      <w:start w:val="1"/>
      <w:numFmt w:val="bullet"/>
      <w:lvlText w:val="o"/>
      <w:lvlJc w:val="left"/>
      <w:pPr>
        <w:ind w:left="6628" w:hanging="360"/>
      </w:pPr>
      <w:rPr>
        <w:rFonts w:ascii="Courier New" w:hAnsi="Courier New" w:cs="Courier New" w:hint="default"/>
      </w:rPr>
    </w:lvl>
    <w:lvl w:ilvl="5" w:tplc="5BBCA6F2" w:tentative="1">
      <w:start w:val="1"/>
      <w:numFmt w:val="bullet"/>
      <w:lvlText w:val=""/>
      <w:lvlJc w:val="left"/>
      <w:pPr>
        <w:ind w:left="7348" w:hanging="360"/>
      </w:pPr>
      <w:rPr>
        <w:rFonts w:ascii="Wingdings" w:hAnsi="Wingdings" w:hint="default"/>
      </w:rPr>
    </w:lvl>
    <w:lvl w:ilvl="6" w:tplc="1C50851C" w:tentative="1">
      <w:start w:val="1"/>
      <w:numFmt w:val="bullet"/>
      <w:lvlText w:val=""/>
      <w:lvlJc w:val="left"/>
      <w:pPr>
        <w:ind w:left="8068" w:hanging="360"/>
      </w:pPr>
      <w:rPr>
        <w:rFonts w:ascii="Symbol" w:hAnsi="Symbol" w:hint="default"/>
      </w:rPr>
    </w:lvl>
    <w:lvl w:ilvl="7" w:tplc="EABAA4E8" w:tentative="1">
      <w:start w:val="1"/>
      <w:numFmt w:val="bullet"/>
      <w:lvlText w:val="o"/>
      <w:lvlJc w:val="left"/>
      <w:pPr>
        <w:ind w:left="8788" w:hanging="360"/>
      </w:pPr>
      <w:rPr>
        <w:rFonts w:ascii="Courier New" w:hAnsi="Courier New" w:cs="Courier New" w:hint="default"/>
      </w:rPr>
    </w:lvl>
    <w:lvl w:ilvl="8" w:tplc="DBE21C22" w:tentative="1">
      <w:start w:val="1"/>
      <w:numFmt w:val="bullet"/>
      <w:lvlText w:val=""/>
      <w:lvlJc w:val="left"/>
      <w:pPr>
        <w:ind w:left="9508" w:hanging="360"/>
      </w:pPr>
      <w:rPr>
        <w:rFonts w:ascii="Wingdings" w:hAnsi="Wingdings" w:hint="default"/>
      </w:rPr>
    </w:lvl>
  </w:abstractNum>
  <w:abstractNum w:abstractNumId="38">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9">
    <w:nsid w:val="6A14466B"/>
    <w:multiLevelType w:val="hybridMultilevel"/>
    <w:tmpl w:val="2402A666"/>
    <w:lvl w:ilvl="0" w:tplc="C4C44286">
      <w:start w:val="1"/>
      <w:numFmt w:val="bullet"/>
      <w:pStyle w:val="BulletList1"/>
      <w:lvlText w:val="·"/>
      <w:lvlJc w:val="left"/>
      <w:pPr>
        <w:tabs>
          <w:tab w:val="num" w:pos="360"/>
        </w:tabs>
        <w:ind w:left="360" w:hanging="360"/>
      </w:pPr>
      <w:rPr>
        <w:rFonts w:ascii="Symbol" w:hAnsi="Symbol" w:hint="default"/>
        <w:color w:val="000000"/>
      </w:rPr>
    </w:lvl>
    <w:lvl w:ilvl="1" w:tplc="77405004" w:tentative="1">
      <w:start w:val="1"/>
      <w:numFmt w:val="bullet"/>
      <w:lvlText w:val="·"/>
      <w:lvlJc w:val="left"/>
      <w:pPr>
        <w:tabs>
          <w:tab w:val="num" w:pos="1440"/>
        </w:tabs>
        <w:ind w:left="1440" w:hanging="360"/>
      </w:pPr>
      <w:rPr>
        <w:rFonts w:ascii="Symbol" w:hAnsi="Symbol" w:hint="default"/>
      </w:rPr>
    </w:lvl>
    <w:lvl w:ilvl="2" w:tplc="14F2EC8E" w:tentative="1">
      <w:start w:val="1"/>
      <w:numFmt w:val="bullet"/>
      <w:lvlText w:val="·"/>
      <w:lvlJc w:val="left"/>
      <w:pPr>
        <w:tabs>
          <w:tab w:val="num" w:pos="2160"/>
        </w:tabs>
        <w:ind w:left="2160" w:hanging="360"/>
      </w:pPr>
      <w:rPr>
        <w:rFonts w:ascii="Symbol" w:hAnsi="Symbol" w:hint="default"/>
      </w:rPr>
    </w:lvl>
    <w:lvl w:ilvl="3" w:tplc="ABE855EE" w:tentative="1">
      <w:start w:val="1"/>
      <w:numFmt w:val="bullet"/>
      <w:lvlText w:val="·"/>
      <w:lvlJc w:val="left"/>
      <w:pPr>
        <w:tabs>
          <w:tab w:val="num" w:pos="2880"/>
        </w:tabs>
        <w:ind w:left="2880" w:hanging="360"/>
      </w:pPr>
      <w:rPr>
        <w:rFonts w:ascii="Symbol" w:hAnsi="Symbol" w:hint="default"/>
      </w:rPr>
    </w:lvl>
    <w:lvl w:ilvl="4" w:tplc="27322176" w:tentative="1">
      <w:start w:val="1"/>
      <w:numFmt w:val="bullet"/>
      <w:lvlText w:val="o"/>
      <w:lvlJc w:val="left"/>
      <w:pPr>
        <w:tabs>
          <w:tab w:val="num" w:pos="3600"/>
        </w:tabs>
        <w:ind w:left="3600" w:hanging="360"/>
      </w:pPr>
      <w:rPr>
        <w:rFonts w:ascii="Courier New" w:hAnsi="Courier New" w:hint="default"/>
      </w:rPr>
    </w:lvl>
    <w:lvl w:ilvl="5" w:tplc="F71C9890" w:tentative="1">
      <w:start w:val="1"/>
      <w:numFmt w:val="bullet"/>
      <w:lvlText w:val="§"/>
      <w:lvlJc w:val="left"/>
      <w:pPr>
        <w:tabs>
          <w:tab w:val="num" w:pos="4320"/>
        </w:tabs>
        <w:ind w:left="4320" w:hanging="360"/>
      </w:pPr>
      <w:rPr>
        <w:rFonts w:ascii="Wingdings" w:hAnsi="Wingdings" w:hint="default"/>
      </w:rPr>
    </w:lvl>
    <w:lvl w:ilvl="6" w:tplc="4040288A" w:tentative="1">
      <w:start w:val="1"/>
      <w:numFmt w:val="bullet"/>
      <w:lvlText w:val="·"/>
      <w:lvlJc w:val="left"/>
      <w:pPr>
        <w:tabs>
          <w:tab w:val="num" w:pos="5040"/>
        </w:tabs>
        <w:ind w:left="5040" w:hanging="360"/>
      </w:pPr>
      <w:rPr>
        <w:rFonts w:ascii="Symbol" w:hAnsi="Symbol" w:hint="default"/>
      </w:rPr>
    </w:lvl>
    <w:lvl w:ilvl="7" w:tplc="A5A2DFB6" w:tentative="1">
      <w:start w:val="1"/>
      <w:numFmt w:val="bullet"/>
      <w:lvlText w:val="o"/>
      <w:lvlJc w:val="left"/>
      <w:pPr>
        <w:tabs>
          <w:tab w:val="num" w:pos="5760"/>
        </w:tabs>
        <w:ind w:left="5760" w:hanging="360"/>
      </w:pPr>
      <w:rPr>
        <w:rFonts w:ascii="Courier New" w:hAnsi="Courier New" w:hint="default"/>
      </w:rPr>
    </w:lvl>
    <w:lvl w:ilvl="8" w:tplc="C58050D0" w:tentative="1">
      <w:start w:val="1"/>
      <w:numFmt w:val="bullet"/>
      <w:lvlText w:val="§"/>
      <w:lvlJc w:val="left"/>
      <w:pPr>
        <w:tabs>
          <w:tab w:val="num" w:pos="6480"/>
        </w:tabs>
        <w:ind w:left="6480" w:hanging="360"/>
      </w:pPr>
      <w:rPr>
        <w:rFonts w:ascii="Wingdings" w:hAnsi="Wingdings" w:hint="default"/>
      </w:rPr>
    </w:lvl>
  </w:abstractNum>
  <w:abstractNum w:abstractNumId="4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C44374B"/>
    <w:multiLevelType w:val="multilevel"/>
    <w:tmpl w:val="12E2EFD4"/>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4">
    <w:nsid w:val="78C31C79"/>
    <w:multiLevelType w:val="hybridMultilevel"/>
    <w:tmpl w:val="0BBA56BC"/>
    <w:lvl w:ilvl="0" w:tplc="8950316C">
      <w:start w:val="1"/>
      <w:numFmt w:val="decimal"/>
      <w:lvlText w:val="%1."/>
      <w:lvlJc w:val="left"/>
      <w:pPr>
        <w:ind w:left="1440" w:hanging="360"/>
      </w:pPr>
      <w:rPr>
        <w:color w:val="000000"/>
      </w:rPr>
    </w:lvl>
    <w:lvl w:ilvl="1" w:tplc="44F6141E" w:tentative="1">
      <w:start w:val="1"/>
      <w:numFmt w:val="lowerLetter"/>
      <w:lvlText w:val="%2."/>
      <w:lvlJc w:val="left"/>
      <w:pPr>
        <w:ind w:left="2160" w:hanging="360"/>
      </w:pPr>
    </w:lvl>
    <w:lvl w:ilvl="2" w:tplc="3B6AC16E" w:tentative="1">
      <w:start w:val="1"/>
      <w:numFmt w:val="lowerRoman"/>
      <w:lvlText w:val="%3."/>
      <w:lvlJc w:val="right"/>
      <w:pPr>
        <w:ind w:left="2880" w:hanging="180"/>
      </w:pPr>
    </w:lvl>
    <w:lvl w:ilvl="3" w:tplc="2570A5C0" w:tentative="1">
      <w:start w:val="1"/>
      <w:numFmt w:val="decimal"/>
      <w:lvlText w:val="%4."/>
      <w:lvlJc w:val="left"/>
      <w:pPr>
        <w:ind w:left="3600" w:hanging="360"/>
      </w:pPr>
    </w:lvl>
    <w:lvl w:ilvl="4" w:tplc="3CFE7124" w:tentative="1">
      <w:start w:val="1"/>
      <w:numFmt w:val="lowerLetter"/>
      <w:lvlText w:val="%5."/>
      <w:lvlJc w:val="left"/>
      <w:pPr>
        <w:ind w:left="4320" w:hanging="360"/>
      </w:pPr>
    </w:lvl>
    <w:lvl w:ilvl="5" w:tplc="05DAF03C" w:tentative="1">
      <w:start w:val="1"/>
      <w:numFmt w:val="lowerRoman"/>
      <w:lvlText w:val="%6."/>
      <w:lvlJc w:val="right"/>
      <w:pPr>
        <w:ind w:left="5040" w:hanging="180"/>
      </w:pPr>
    </w:lvl>
    <w:lvl w:ilvl="6" w:tplc="C6868B80" w:tentative="1">
      <w:start w:val="1"/>
      <w:numFmt w:val="decimal"/>
      <w:lvlText w:val="%7."/>
      <w:lvlJc w:val="left"/>
      <w:pPr>
        <w:ind w:left="5760" w:hanging="360"/>
      </w:pPr>
    </w:lvl>
    <w:lvl w:ilvl="7" w:tplc="4D3C84FA" w:tentative="1">
      <w:start w:val="1"/>
      <w:numFmt w:val="lowerLetter"/>
      <w:lvlText w:val="%8."/>
      <w:lvlJc w:val="left"/>
      <w:pPr>
        <w:ind w:left="6480" w:hanging="360"/>
      </w:pPr>
    </w:lvl>
    <w:lvl w:ilvl="8" w:tplc="E01C53E8" w:tentative="1">
      <w:start w:val="1"/>
      <w:numFmt w:val="lowerRoman"/>
      <w:lvlText w:val="%9."/>
      <w:lvlJc w:val="right"/>
      <w:pPr>
        <w:ind w:left="7200" w:hanging="180"/>
      </w:pPr>
    </w:lvl>
  </w:abstractNum>
  <w:abstractNum w:abstractNumId="45">
    <w:nsid w:val="7DB5644F"/>
    <w:multiLevelType w:val="hybridMultilevel"/>
    <w:tmpl w:val="8BCC9C08"/>
    <w:lvl w:ilvl="0" w:tplc="09AEC6FE">
      <w:start w:val="1"/>
      <w:numFmt w:val="bullet"/>
      <w:pStyle w:val="BulletList3"/>
      <w:lvlText w:val=""/>
      <w:lvlJc w:val="left"/>
      <w:pPr>
        <w:tabs>
          <w:tab w:val="num" w:pos="1945"/>
        </w:tabs>
        <w:ind w:left="1945" w:hanging="357"/>
      </w:pPr>
      <w:rPr>
        <w:rFonts w:ascii="Symbol" w:hAnsi="Symbol" w:hint="default"/>
        <w:color w:val="000000"/>
      </w:rPr>
    </w:lvl>
    <w:lvl w:ilvl="1" w:tplc="800237CA" w:tentative="1">
      <w:start w:val="1"/>
      <w:numFmt w:val="bullet"/>
      <w:lvlText w:val="o"/>
      <w:lvlJc w:val="left"/>
      <w:pPr>
        <w:tabs>
          <w:tab w:val="num" w:pos="1440"/>
        </w:tabs>
        <w:ind w:left="1440" w:hanging="360"/>
      </w:pPr>
      <w:rPr>
        <w:rFonts w:ascii="Courier New" w:hAnsi="Courier New" w:cs="Courier New" w:hint="default"/>
      </w:rPr>
    </w:lvl>
    <w:lvl w:ilvl="2" w:tplc="C7DCBCEA" w:tentative="1">
      <w:start w:val="1"/>
      <w:numFmt w:val="bullet"/>
      <w:lvlText w:val=""/>
      <w:lvlJc w:val="left"/>
      <w:pPr>
        <w:tabs>
          <w:tab w:val="num" w:pos="2160"/>
        </w:tabs>
        <w:ind w:left="2160" w:hanging="360"/>
      </w:pPr>
      <w:rPr>
        <w:rFonts w:ascii="Wingdings" w:hAnsi="Wingdings" w:hint="default"/>
      </w:rPr>
    </w:lvl>
    <w:lvl w:ilvl="3" w:tplc="D5B8A3EC" w:tentative="1">
      <w:start w:val="1"/>
      <w:numFmt w:val="bullet"/>
      <w:lvlText w:val=""/>
      <w:lvlJc w:val="left"/>
      <w:pPr>
        <w:tabs>
          <w:tab w:val="num" w:pos="2880"/>
        </w:tabs>
        <w:ind w:left="2880" w:hanging="360"/>
      </w:pPr>
      <w:rPr>
        <w:rFonts w:ascii="Symbol" w:hAnsi="Symbol" w:hint="default"/>
      </w:rPr>
    </w:lvl>
    <w:lvl w:ilvl="4" w:tplc="406CFBE4" w:tentative="1">
      <w:start w:val="1"/>
      <w:numFmt w:val="bullet"/>
      <w:lvlText w:val="o"/>
      <w:lvlJc w:val="left"/>
      <w:pPr>
        <w:tabs>
          <w:tab w:val="num" w:pos="3600"/>
        </w:tabs>
        <w:ind w:left="3600" w:hanging="360"/>
      </w:pPr>
      <w:rPr>
        <w:rFonts w:ascii="Courier New" w:hAnsi="Courier New" w:cs="Courier New" w:hint="default"/>
      </w:rPr>
    </w:lvl>
    <w:lvl w:ilvl="5" w:tplc="1320343E" w:tentative="1">
      <w:start w:val="1"/>
      <w:numFmt w:val="bullet"/>
      <w:lvlText w:val=""/>
      <w:lvlJc w:val="left"/>
      <w:pPr>
        <w:tabs>
          <w:tab w:val="num" w:pos="4320"/>
        </w:tabs>
        <w:ind w:left="4320" w:hanging="360"/>
      </w:pPr>
      <w:rPr>
        <w:rFonts w:ascii="Wingdings" w:hAnsi="Wingdings" w:hint="default"/>
      </w:rPr>
    </w:lvl>
    <w:lvl w:ilvl="6" w:tplc="B34050E2" w:tentative="1">
      <w:start w:val="1"/>
      <w:numFmt w:val="bullet"/>
      <w:lvlText w:val=""/>
      <w:lvlJc w:val="left"/>
      <w:pPr>
        <w:tabs>
          <w:tab w:val="num" w:pos="5040"/>
        </w:tabs>
        <w:ind w:left="5040" w:hanging="360"/>
      </w:pPr>
      <w:rPr>
        <w:rFonts w:ascii="Symbol" w:hAnsi="Symbol" w:hint="default"/>
      </w:rPr>
    </w:lvl>
    <w:lvl w:ilvl="7" w:tplc="85989F60" w:tentative="1">
      <w:start w:val="1"/>
      <w:numFmt w:val="bullet"/>
      <w:lvlText w:val="o"/>
      <w:lvlJc w:val="left"/>
      <w:pPr>
        <w:tabs>
          <w:tab w:val="num" w:pos="5760"/>
        </w:tabs>
        <w:ind w:left="5760" w:hanging="360"/>
      </w:pPr>
      <w:rPr>
        <w:rFonts w:ascii="Courier New" w:hAnsi="Courier New" w:cs="Courier New" w:hint="default"/>
      </w:rPr>
    </w:lvl>
    <w:lvl w:ilvl="8" w:tplc="B4B88652"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9"/>
  </w:num>
  <w:num w:numId="3">
    <w:abstractNumId w:val="22"/>
  </w:num>
  <w:num w:numId="4">
    <w:abstractNumId w:val="45"/>
  </w:num>
  <w:num w:numId="5">
    <w:abstractNumId w:val="42"/>
  </w:num>
  <w:num w:numId="6">
    <w:abstractNumId w:val="16"/>
  </w:num>
  <w:num w:numId="7">
    <w:abstractNumId w:val="25"/>
  </w:num>
  <w:num w:numId="8">
    <w:abstractNumId w:val="23"/>
  </w:num>
  <w:num w:numId="9">
    <w:abstractNumId w:val="20"/>
  </w:num>
  <w:num w:numId="10">
    <w:abstractNumId w:val="34"/>
  </w:num>
  <w:num w:numId="11">
    <w:abstractNumId w:val="19"/>
  </w:num>
  <w:num w:numId="12">
    <w:abstractNumId w:val="33"/>
  </w:num>
  <w:num w:numId="13">
    <w:abstractNumId w:val="36"/>
  </w:num>
  <w:num w:numId="14">
    <w:abstractNumId w:val="26"/>
  </w:num>
  <w:num w:numId="15">
    <w:abstractNumId w:val="32"/>
  </w:num>
  <w:num w:numId="16">
    <w:abstractNumId w:val="30"/>
  </w:num>
  <w:num w:numId="17">
    <w:abstractNumId w:val="31"/>
  </w:num>
  <w:num w:numId="18">
    <w:abstractNumId w:val="29"/>
  </w:num>
  <w:num w:numId="19">
    <w:abstractNumId w:val="21"/>
  </w:num>
  <w:num w:numId="20">
    <w:abstractNumId w:val="37"/>
  </w:num>
  <w:num w:numId="21">
    <w:abstractNumId w:val="11"/>
  </w:num>
  <w:num w:numId="22">
    <w:abstractNumId w:val="1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41"/>
  </w:num>
  <w:num w:numId="26">
    <w:abstractNumId w:val="27"/>
  </w:num>
  <w:num w:numId="27">
    <w:abstractNumId w:val="24"/>
  </w:num>
  <w:num w:numId="28">
    <w:abstractNumId w:val="24"/>
  </w:num>
  <w:num w:numId="29">
    <w:abstractNumId w:val="43"/>
  </w:num>
  <w:num w:numId="30">
    <w:abstractNumId w:val="15"/>
  </w:num>
  <w:num w:numId="31">
    <w:abstractNumId w:val="18"/>
  </w:num>
  <w:num w:numId="32">
    <w:abstractNumId w:val="35"/>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0"/>
  </w:num>
  <w:num w:numId="46">
    <w:abstractNumId w:val="44"/>
  </w:num>
  <w:num w:numId="47">
    <w:abstractNumId w:val="12"/>
  </w:num>
  <w:num w:numId="48">
    <w:abstractNumId w:val="17"/>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defaultTabStop w:val="720"/>
  <w:characterSpacingControl w:val="doNotCompress"/>
  <w:hdrShapeDefaults>
    <o:shapedefaults v:ext="edit" spidmax="3074">
      <o:colormru v:ext="edit" colors="#bedcc3"/>
      <o:colormenu v:ext="edit" fillcolor="#bedcc3" strokecolor="#bedcc3"/>
    </o:shapedefaults>
  </w:hdrShapeDefaults>
  <w:footnotePr>
    <w:footnote w:id="0"/>
    <w:footnote w:id="1"/>
  </w:footnotePr>
  <w:endnotePr>
    <w:endnote w:id="0"/>
    <w:endnote w:id="1"/>
  </w:endnotePr>
  <w:compat>
    <w:useFELayout/>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E28F85FD-984D-4DC1-97F7-42F144175E9C}"/>
  </w:docVars>
  <w:rsids>
    <w:rsidRoot w:val="00105FF5"/>
    <w:rsid w:val="00005529"/>
    <w:rsid w:val="000A44D4"/>
    <w:rsid w:val="00105FF5"/>
    <w:rsid w:val="00417DF6"/>
    <w:rsid w:val="004B77A9"/>
    <w:rsid w:val="0054418D"/>
    <w:rsid w:val="005536DF"/>
    <w:rsid w:val="009460E8"/>
    <w:rsid w:val="00A15E22"/>
    <w:rsid w:val="00AC4384"/>
    <w:rsid w:val="00BF0F6A"/>
    <w:rsid w:val="00CE73E7"/>
    <w:rsid w:val="00CF1530"/>
    <w:rsid w:val="00DA7919"/>
    <w:rsid w:val="00F45C71"/>
    <w:rsid w:val="00F852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bedcc3"/>
      <o:colormenu v:ext="edit" fillcolor="#bedcc3" strokecolor="#bedcc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macro" w:unhideWhenUsed="0"/>
    <w:lsdException w:name="List Bullet" w:unhideWhenUsed="0"/>
    <w:lsdException w:name="List Number" w:unhideWhenUsed="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B4674"/>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2B4674"/>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B4674"/>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B4674"/>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B4674"/>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B4674"/>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B4674"/>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2B4674"/>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B4674"/>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B4674"/>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674"/>
    <w:rPr>
      <w:rFonts w:ascii="Tahoma" w:hAnsi="Tahoma" w:cs="Tahoma"/>
      <w:color w:val="000000"/>
      <w:sz w:val="16"/>
      <w:szCs w:val="16"/>
    </w:rPr>
  </w:style>
  <w:style w:type="paragraph" w:styleId="Header">
    <w:name w:val="header"/>
    <w:basedOn w:val="Normal"/>
    <w:link w:val="HeaderChar"/>
    <w:uiPriority w:val="99"/>
    <w:unhideWhenUsed/>
    <w:rsid w:val="002B4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674"/>
    <w:rPr>
      <w:color w:val="000000"/>
    </w:rPr>
  </w:style>
  <w:style w:type="paragraph" w:styleId="Footer">
    <w:name w:val="footer"/>
    <w:basedOn w:val="Normal"/>
    <w:link w:val="FooterChar"/>
    <w:rsid w:val="002B4674"/>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2B4674"/>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2B4674"/>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2B4674"/>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2B4674"/>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2B4674"/>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2B4674"/>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2B4674"/>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2B4674"/>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2B4674"/>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B4674"/>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2B4674"/>
    <w:rPr>
      <w:color w:val="000000"/>
    </w:rPr>
  </w:style>
  <w:style w:type="paragraph" w:customStyle="1" w:styleId="DescriptiveHeading">
    <w:name w:val="DescriptiveHeading"/>
    <w:next w:val="Paragraph"/>
    <w:link w:val="DescriptiveHeadingChar"/>
    <w:rsid w:val="002B4674"/>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2B4674"/>
    <w:rPr>
      <w:rFonts w:ascii="Arial" w:eastAsia="Arial Unicode MS" w:hAnsi="Arial" w:cs="Arial"/>
      <w:b/>
      <w:color w:val="000000"/>
      <w:lang w:val="en-US" w:eastAsia="en-US"/>
    </w:rPr>
  </w:style>
  <w:style w:type="paragraph" w:customStyle="1" w:styleId="Paragraph">
    <w:name w:val="Paragraph"/>
    <w:basedOn w:val="Normal"/>
    <w:link w:val="ParagraphChar"/>
    <w:qFormat/>
    <w:rsid w:val="002B4674"/>
    <w:pPr>
      <w:spacing w:after="120" w:line="300" w:lineRule="atLeast"/>
      <w:jc w:val="both"/>
    </w:pPr>
    <w:rPr>
      <w:rFonts w:eastAsia="Arial Unicode MS"/>
      <w:szCs w:val="20"/>
      <w:lang w:eastAsia="en-US"/>
    </w:rPr>
  </w:style>
  <w:style w:type="table" w:styleId="TableGrid">
    <w:name w:val="Table Grid"/>
    <w:basedOn w:val="TableNormal"/>
    <w:rsid w:val="002B4674"/>
    <w:pPr>
      <w:spacing w:after="0" w:line="240" w:lineRule="auto"/>
    </w:pPr>
    <w:rPr>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ingnoteTitle">
    <w:name w:val="Draftingnote Title"/>
    <w:basedOn w:val="Normal"/>
    <w:rsid w:val="002B4674"/>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2B4674"/>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2B4674"/>
    <w:rPr>
      <w:rFonts w:ascii="Arial" w:eastAsia="Arial Unicode MS" w:hAnsi="Arial" w:cs="Arial"/>
      <w:color w:val="000000"/>
      <w:sz w:val="24"/>
      <w:szCs w:val="24"/>
      <w:lang w:val="en-US" w:eastAsia="en-US"/>
    </w:rPr>
  </w:style>
  <w:style w:type="paragraph" w:customStyle="1" w:styleId="TitleClause">
    <w:name w:val="Title Clause"/>
    <w:basedOn w:val="Normal"/>
    <w:rsid w:val="002B4674"/>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2B4674"/>
    <w:rPr>
      <w:rFonts w:ascii="Arial" w:eastAsia="Arial Unicode MS" w:hAnsi="Arial" w:cs="Arial"/>
      <w:color w:val="000000"/>
      <w:szCs w:val="20"/>
      <w:lang w:eastAsia="en-US"/>
    </w:rPr>
  </w:style>
  <w:style w:type="paragraph" w:customStyle="1" w:styleId="Untitledsubclause1">
    <w:name w:val="Untitled subclause 1"/>
    <w:basedOn w:val="Normal"/>
    <w:rsid w:val="002B4674"/>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2B4674"/>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2B4674"/>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2B4674"/>
    <w:pPr>
      <w:numPr>
        <w:ilvl w:val="4"/>
        <w:numId w:val="23"/>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2B4674"/>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2B4674"/>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2B4674"/>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2B4674"/>
    <w:rPr>
      <w:rFonts w:ascii="Arial" w:eastAsia="Arial Unicode MS" w:hAnsi="Arial" w:cs="Arial"/>
      <w:color w:val="000000"/>
      <w:sz w:val="24"/>
      <w:lang w:val="en-US" w:eastAsia="en-US"/>
    </w:rPr>
  </w:style>
  <w:style w:type="paragraph" w:styleId="Title">
    <w:name w:val="Title"/>
    <w:link w:val="TitleChar"/>
    <w:rsid w:val="002B4674"/>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2B4674"/>
    <w:rPr>
      <w:rFonts w:ascii="Arial" w:eastAsia="Arial Unicode MS" w:hAnsi="Arial" w:cs="Arial"/>
      <w:color w:val="000000"/>
      <w:sz w:val="24"/>
      <w:lang w:val="en-US" w:eastAsia="en-US"/>
    </w:rPr>
  </w:style>
  <w:style w:type="paragraph" w:customStyle="1" w:styleId="InternalTOC">
    <w:name w:val="Internal TOC"/>
    <w:rsid w:val="002B4674"/>
    <w:pPr>
      <w:spacing w:after="120" w:line="240" w:lineRule="auto"/>
    </w:pPr>
    <w:rPr>
      <w:rFonts w:ascii="Arial" w:eastAsia="Arial Unicode MS" w:hAnsi="Arial" w:cs="Arial"/>
      <w:color w:val="000000"/>
      <w:lang w:val="en-US" w:eastAsia="en-US"/>
    </w:rPr>
  </w:style>
  <w:style w:type="paragraph" w:customStyle="1" w:styleId="6D83DCFF8BDF479DB88C9CA683CF81C7">
    <w:name w:val="6D83DCFF8BDF479DB88C9CA683CF81C7"/>
    <w:rsid w:val="00002E1D"/>
    <w:pPr>
      <w:spacing w:after="120" w:line="240" w:lineRule="auto"/>
    </w:pPr>
    <w:rPr>
      <w:rFonts w:ascii="Arial" w:eastAsia="Times New Roman" w:hAnsi="Arial" w:cs="Times New Roman"/>
      <w:color w:val="000000"/>
      <w:sz w:val="24"/>
      <w:szCs w:val="24"/>
      <w:lang w:val="en-US" w:eastAsia="en-US"/>
    </w:rPr>
  </w:style>
  <w:style w:type="paragraph" w:customStyle="1" w:styleId="Annex">
    <w:name w:val="Annex"/>
    <w:basedOn w:val="Paragraph"/>
    <w:next w:val="Paragraph"/>
    <w:qFormat/>
    <w:rsid w:val="002B4674"/>
    <w:pPr>
      <w:numPr>
        <w:numId w:val="11"/>
      </w:numPr>
      <w:spacing w:before="240" w:after="240"/>
      <w:ind w:left="0" w:firstLine="0"/>
    </w:pPr>
    <w:rPr>
      <w:b/>
    </w:rPr>
  </w:style>
  <w:style w:type="paragraph" w:customStyle="1" w:styleId="Background">
    <w:name w:val="Background"/>
    <w:aliases w:val="(A) Background"/>
    <w:basedOn w:val="Normal"/>
    <w:rsid w:val="002B4674"/>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2B4674"/>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2B4674"/>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2B4674"/>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2B4674"/>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2B4674"/>
    <w:rPr>
      <w:b w:val="0"/>
      <w:smallCaps/>
    </w:rPr>
  </w:style>
  <w:style w:type="paragraph" w:customStyle="1" w:styleId="ClosingPara">
    <w:name w:val="Closing Para"/>
    <w:basedOn w:val="Normal"/>
    <w:rsid w:val="002B4674"/>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2B4674"/>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2B4674"/>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2B4674"/>
  </w:style>
  <w:style w:type="paragraph" w:customStyle="1" w:styleId="CoverSheetSubjectText">
    <w:name w:val="Cover Sheet Subject Text"/>
    <w:basedOn w:val="Normal"/>
    <w:rsid w:val="002B4674"/>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2B4674"/>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2B4674"/>
    <w:pPr>
      <w:numPr>
        <w:numId w:val="24"/>
      </w:numPr>
    </w:pPr>
  </w:style>
  <w:style w:type="paragraph" w:customStyle="1" w:styleId="DraftingnoteSection1Para">
    <w:name w:val="Draftingnote Section1 Para"/>
    <w:basedOn w:val="Normal"/>
    <w:rsid w:val="002B4674"/>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2B4674"/>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2B4674"/>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2B4674"/>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2B4674"/>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2B4674"/>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2B4674"/>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2B4674"/>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2B4674"/>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2B4674"/>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2B4674"/>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2B4674"/>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2B4674"/>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2B4674"/>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2B4674"/>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2B4674"/>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2B4674"/>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2B4674"/>
    <w:pPr>
      <w:spacing w:after="120" w:line="300" w:lineRule="atLeast"/>
      <w:jc w:val="both"/>
    </w:pPr>
    <w:rPr>
      <w:rFonts w:eastAsia="Arial Unicode MS"/>
      <w:szCs w:val="20"/>
      <w:lang w:eastAsia="en-US"/>
    </w:rPr>
  </w:style>
  <w:style w:type="paragraph" w:customStyle="1" w:styleId="GlossItemGlossterm">
    <w:name w:val="GlossItem Glossterm"/>
    <w:basedOn w:val="Normal"/>
    <w:rsid w:val="002B4674"/>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2B4674"/>
    <w:pPr>
      <w:spacing w:after="120" w:line="300" w:lineRule="atLeast"/>
      <w:jc w:val="both"/>
    </w:pPr>
    <w:rPr>
      <w:rFonts w:eastAsia="Arial Unicode MS"/>
      <w:szCs w:val="20"/>
      <w:lang w:eastAsia="en-US"/>
    </w:rPr>
  </w:style>
  <w:style w:type="paragraph" w:customStyle="1" w:styleId="HeadingDate">
    <w:name w:val="Heading Date"/>
    <w:basedOn w:val="Normal"/>
    <w:rsid w:val="002B4674"/>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2B4674"/>
    <w:pPr>
      <w:spacing w:after="120" w:line="300" w:lineRule="atLeast"/>
      <w:jc w:val="both"/>
    </w:pPr>
    <w:rPr>
      <w:rFonts w:eastAsia="Arial Unicode MS"/>
      <w:szCs w:val="20"/>
      <w:lang w:eastAsia="en-US"/>
    </w:rPr>
  </w:style>
  <w:style w:type="paragraph" w:customStyle="1" w:styleId="HeadingSalutation">
    <w:name w:val="Heading Salutation"/>
    <w:basedOn w:val="Normal"/>
    <w:rsid w:val="002B4674"/>
    <w:pPr>
      <w:spacing w:after="120" w:line="300" w:lineRule="atLeast"/>
      <w:jc w:val="both"/>
    </w:pPr>
    <w:rPr>
      <w:rFonts w:eastAsia="Arial Unicode MS"/>
      <w:szCs w:val="20"/>
      <w:lang w:eastAsia="en-US"/>
    </w:rPr>
  </w:style>
  <w:style w:type="paragraph" w:customStyle="1" w:styleId="InternalAuthor">
    <w:name w:val="Internal Author"/>
    <w:link w:val="InternalAuthorChar"/>
    <w:rsid w:val="002B4674"/>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2B4674"/>
    <w:rPr>
      <w:rFonts w:ascii="Arial" w:eastAsia="Arial Unicode MS" w:hAnsi="Arial" w:cs="Arial"/>
      <w:color w:val="000000"/>
      <w:sz w:val="24"/>
      <w:lang w:val="en-US" w:eastAsia="en-US"/>
    </w:rPr>
  </w:style>
  <w:style w:type="paragraph" w:customStyle="1" w:styleId="MaintenanceEditor">
    <w:name w:val="Maintenance Editor"/>
    <w:link w:val="MaintenanceEditorChar"/>
    <w:rsid w:val="002B4674"/>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2B4674"/>
    <w:rPr>
      <w:rFonts w:ascii="Arial" w:eastAsia="Arial Unicode MS" w:hAnsi="Arial" w:cs="Arial"/>
      <w:color w:val="000000"/>
      <w:sz w:val="24"/>
      <w:lang w:val="en-US" w:eastAsia="en-US"/>
    </w:rPr>
  </w:style>
  <w:style w:type="paragraph" w:customStyle="1" w:styleId="ParaClause">
    <w:name w:val="Para Clause"/>
    <w:basedOn w:val="Normal"/>
    <w:rsid w:val="002B4674"/>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2B4674"/>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2B4674"/>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2B4674"/>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2B4674"/>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2B4674"/>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2B4674"/>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2B4674"/>
    <w:pPr>
      <w:spacing w:after="240"/>
      <w:ind w:left="3028"/>
    </w:pPr>
  </w:style>
  <w:style w:type="paragraph" w:customStyle="1" w:styleId="ScheduleUntitledsubclause4">
    <w:name w:val="Schedule Untitled subclause 4"/>
    <w:basedOn w:val="Normal"/>
    <w:rsid w:val="002B4674"/>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2B4674"/>
    <w:pPr>
      <w:spacing w:after="120" w:line="300" w:lineRule="atLeast"/>
      <w:jc w:val="both"/>
    </w:pPr>
    <w:rPr>
      <w:rFonts w:eastAsia="Arial Unicode MS"/>
      <w:szCs w:val="20"/>
      <w:lang w:eastAsia="en-US"/>
    </w:rPr>
  </w:style>
  <w:style w:type="paragraph" w:customStyle="1" w:styleId="Parties">
    <w:name w:val="Parties"/>
    <w:aliases w:val="(1) Parties"/>
    <w:basedOn w:val="Normal"/>
    <w:rsid w:val="002B4674"/>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2B4674"/>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2B4674"/>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2B4674"/>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2B4674"/>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2B4674"/>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2B4674"/>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2B4674"/>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2B4674"/>
    <w:rPr>
      <w:rFonts w:ascii="Arial" w:eastAsia="Arial Unicode MS" w:hAnsi="Arial" w:cs="Arial"/>
      <w:b/>
      <w:bCs/>
      <w:color w:val="000000"/>
      <w:sz w:val="24"/>
      <w:lang w:val="en-US" w:eastAsia="en-US"/>
    </w:rPr>
  </w:style>
  <w:style w:type="paragraph" w:customStyle="1" w:styleId="ResourceType">
    <w:name w:val="Resource Type"/>
    <w:link w:val="ResourceTypeChar"/>
    <w:rsid w:val="002B4674"/>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2B4674"/>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2B4674"/>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2B4674"/>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2B4674"/>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2B4674"/>
    <w:pPr>
      <w:spacing w:after="120" w:line="300" w:lineRule="atLeast"/>
      <w:jc w:val="both"/>
    </w:pPr>
    <w:rPr>
      <w:rFonts w:eastAsia="Arial Unicode MS"/>
      <w:szCs w:val="20"/>
      <w:lang w:eastAsia="en-US"/>
    </w:rPr>
  </w:style>
  <w:style w:type="paragraph" w:customStyle="1" w:styleId="SpeedreadPara">
    <w:name w:val="Speedread Para"/>
    <w:basedOn w:val="Normal"/>
    <w:rsid w:val="002B4674"/>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2B4674"/>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2B4674"/>
    <w:pPr>
      <w:spacing w:after="120" w:line="300" w:lineRule="atLeast"/>
      <w:jc w:val="both"/>
    </w:pPr>
    <w:rPr>
      <w:rFonts w:eastAsia="Arial Unicode MS"/>
      <w:szCs w:val="20"/>
      <w:lang w:eastAsia="en-US"/>
    </w:rPr>
  </w:style>
  <w:style w:type="paragraph" w:customStyle="1" w:styleId="SpeedreadText">
    <w:name w:val="Speedread Text"/>
    <w:basedOn w:val="Normal"/>
    <w:rsid w:val="002B4674"/>
    <w:pPr>
      <w:spacing w:after="120" w:line="300" w:lineRule="atLeast"/>
      <w:jc w:val="both"/>
    </w:pPr>
    <w:rPr>
      <w:rFonts w:eastAsia="Arial Unicode MS"/>
      <w:szCs w:val="20"/>
      <w:lang w:eastAsia="en-US"/>
    </w:rPr>
  </w:style>
  <w:style w:type="paragraph" w:customStyle="1" w:styleId="SpeedreadTitle">
    <w:name w:val="Speedread Title"/>
    <w:basedOn w:val="Normal"/>
    <w:rsid w:val="002B4674"/>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2B4674"/>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2B4674"/>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2B4674"/>
    <w:rPr>
      <w:i/>
      <w:color w:val="000000"/>
      <w:u w:val="single"/>
    </w:rPr>
  </w:style>
  <w:style w:type="paragraph" w:customStyle="1" w:styleId="Bullet4">
    <w:name w:val="Bullet4"/>
    <w:basedOn w:val="Normal"/>
    <w:rsid w:val="002B4674"/>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2B4674"/>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2B4674"/>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2B4674"/>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2B4674"/>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2B4674"/>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2B4674"/>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2B4674"/>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2B4674"/>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2B4674"/>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2B4674"/>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2B4674"/>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2B4674"/>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2B4674"/>
    <w:rPr>
      <w:rFonts w:ascii="Arial" w:eastAsia="Arial Unicode MS" w:hAnsi="Arial" w:cs="Arial"/>
      <w:color w:val="000000"/>
      <w:szCs w:val="24"/>
      <w:lang w:val="en-US" w:eastAsia="en-US"/>
    </w:rPr>
  </w:style>
  <w:style w:type="paragraph" w:customStyle="1" w:styleId="IntroDefault">
    <w:name w:val="Intro Default"/>
    <w:basedOn w:val="Paragraph"/>
    <w:qFormat/>
    <w:rsid w:val="002B4674"/>
  </w:style>
  <w:style w:type="paragraph" w:customStyle="1" w:styleId="IntroCustom">
    <w:name w:val="Intro Custom"/>
    <w:basedOn w:val="Paragraph"/>
    <w:qFormat/>
    <w:rsid w:val="002B4674"/>
  </w:style>
  <w:style w:type="paragraph" w:customStyle="1" w:styleId="PrecedentType">
    <w:name w:val="Precedent Type"/>
    <w:basedOn w:val="IgnoredSpacing"/>
    <w:qFormat/>
    <w:rsid w:val="002B4674"/>
  </w:style>
  <w:style w:type="paragraph" w:customStyle="1" w:styleId="Operative">
    <w:name w:val="Operative"/>
    <w:basedOn w:val="IgnoredSpacing"/>
    <w:qFormat/>
    <w:rsid w:val="002B4674"/>
    <w:rPr>
      <w:vanish/>
    </w:rPr>
  </w:style>
  <w:style w:type="paragraph" w:customStyle="1" w:styleId="SpeedreadBulletList1">
    <w:name w:val="Speedread Bullet List 1"/>
    <w:basedOn w:val="BulletList1"/>
    <w:qFormat/>
    <w:rsid w:val="002B4674"/>
  </w:style>
  <w:style w:type="paragraph" w:customStyle="1" w:styleId="PartiesTitle">
    <w:name w:val="Parties Title"/>
    <w:basedOn w:val="Paragraph"/>
    <w:qFormat/>
    <w:rsid w:val="002B4674"/>
    <w:rPr>
      <w:b/>
    </w:rPr>
  </w:style>
  <w:style w:type="paragraph" w:customStyle="1" w:styleId="QuestionParagraph">
    <w:name w:val="Question Paragraph"/>
    <w:link w:val="QuestionParagraphChar"/>
    <w:qFormat/>
    <w:rsid w:val="002B4674"/>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2B4674"/>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2B4674"/>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2B4674"/>
    <w:pPr>
      <w:shd w:val="clear" w:color="auto" w:fill="D9D9D9" w:themeFill="background1" w:themeFillShade="D9"/>
      <w:ind w:left="1077"/>
    </w:pPr>
  </w:style>
  <w:style w:type="paragraph" w:customStyle="1" w:styleId="TestimoniumContract">
    <w:name w:val="Testimonium Contract"/>
    <w:basedOn w:val="Paragraph"/>
    <w:qFormat/>
    <w:rsid w:val="002B4674"/>
  </w:style>
  <w:style w:type="paragraph" w:customStyle="1" w:styleId="TestimoniumDeed">
    <w:name w:val="Testimonium Deed"/>
    <w:basedOn w:val="Paragraph"/>
    <w:qFormat/>
    <w:rsid w:val="002B4674"/>
  </w:style>
  <w:style w:type="paragraph" w:customStyle="1" w:styleId="Titlesubclause2">
    <w:name w:val="Title subclause2"/>
    <w:basedOn w:val="Untitledsubclause2"/>
    <w:qFormat/>
    <w:rsid w:val="002B4674"/>
    <w:rPr>
      <w:b/>
    </w:rPr>
  </w:style>
  <w:style w:type="paragraph" w:customStyle="1" w:styleId="Titlesubclause3">
    <w:name w:val="Title subclause3"/>
    <w:basedOn w:val="Untitledsubclause3"/>
    <w:qFormat/>
    <w:rsid w:val="002B4674"/>
    <w:rPr>
      <w:b/>
    </w:rPr>
  </w:style>
  <w:style w:type="paragraph" w:customStyle="1" w:styleId="Titlesubclause4">
    <w:name w:val="Title subclause4"/>
    <w:basedOn w:val="Untitledsubclause4"/>
    <w:qFormat/>
    <w:rsid w:val="002B4674"/>
    <w:rPr>
      <w:b/>
    </w:rPr>
  </w:style>
  <w:style w:type="paragraph" w:customStyle="1" w:styleId="UntitledClause">
    <w:name w:val="Untitled Clause"/>
    <w:basedOn w:val="TitleClause"/>
    <w:qFormat/>
    <w:rsid w:val="002B4674"/>
    <w:pPr>
      <w:spacing w:before="120"/>
    </w:pPr>
    <w:rPr>
      <w:b w:val="0"/>
    </w:rPr>
  </w:style>
  <w:style w:type="paragraph" w:customStyle="1" w:styleId="ScheduleUntitledClause">
    <w:name w:val="Schedule Untitled Clause"/>
    <w:basedOn w:val="ScheduleTitleClause"/>
    <w:qFormat/>
    <w:rsid w:val="002B4674"/>
    <w:pPr>
      <w:spacing w:before="120"/>
    </w:pPr>
    <w:rPr>
      <w:b w:val="0"/>
    </w:rPr>
  </w:style>
  <w:style w:type="paragraph" w:customStyle="1" w:styleId="Titlesubclause1">
    <w:name w:val="Title subclause1"/>
    <w:basedOn w:val="Untitledsubclause1"/>
    <w:qFormat/>
    <w:rsid w:val="002B4674"/>
    <w:pPr>
      <w:spacing w:before="120"/>
    </w:pPr>
    <w:rPr>
      <w:b/>
    </w:rPr>
  </w:style>
  <w:style w:type="paragraph" w:customStyle="1" w:styleId="Schedule">
    <w:name w:val="Schedule"/>
    <w:qFormat/>
    <w:rsid w:val="002B4674"/>
    <w:pPr>
      <w:numPr>
        <w:numId w:val="22"/>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2B4674"/>
    <w:rPr>
      <w:b/>
    </w:rPr>
  </w:style>
  <w:style w:type="paragraph" w:customStyle="1" w:styleId="Part">
    <w:name w:val="Part"/>
    <w:basedOn w:val="Paragraph"/>
    <w:qFormat/>
    <w:rsid w:val="002B4674"/>
    <w:pPr>
      <w:numPr>
        <w:ilvl w:val="1"/>
        <w:numId w:val="22"/>
      </w:numPr>
      <w:spacing w:before="240" w:after="240"/>
      <w:jc w:val="left"/>
    </w:pPr>
    <w:rPr>
      <w:b/>
    </w:rPr>
  </w:style>
  <w:style w:type="paragraph" w:customStyle="1" w:styleId="AnnexTitle">
    <w:name w:val="Annex Title"/>
    <w:basedOn w:val="Paragraph"/>
    <w:next w:val="Paragraph"/>
    <w:qFormat/>
    <w:rsid w:val="002B4674"/>
    <w:pPr>
      <w:spacing w:before="240" w:after="240"/>
    </w:pPr>
    <w:rPr>
      <w:b/>
    </w:rPr>
  </w:style>
  <w:style w:type="paragraph" w:customStyle="1" w:styleId="PartTitle">
    <w:name w:val="Part Title"/>
    <w:basedOn w:val="Paragraph"/>
    <w:qFormat/>
    <w:rsid w:val="002B4674"/>
    <w:rPr>
      <w:b/>
    </w:rPr>
  </w:style>
  <w:style w:type="paragraph" w:customStyle="1" w:styleId="Testimonium">
    <w:name w:val="Testimonium"/>
    <w:basedOn w:val="Paragraph"/>
    <w:qFormat/>
    <w:rsid w:val="002B4674"/>
  </w:style>
  <w:style w:type="character" w:customStyle="1" w:styleId="apple-converted-space">
    <w:name w:val="apple-converted-space"/>
    <w:basedOn w:val="DefaultParagraphFont"/>
    <w:rsid w:val="002B4674"/>
    <w:rPr>
      <w:color w:val="000000"/>
    </w:rPr>
  </w:style>
  <w:style w:type="character" w:styleId="Emphasis">
    <w:name w:val="Emphasis"/>
    <w:basedOn w:val="DefaultParagraphFont"/>
    <w:uiPriority w:val="20"/>
    <w:qFormat/>
    <w:rsid w:val="002B4674"/>
    <w:rPr>
      <w:i/>
      <w:iCs/>
      <w:color w:val="000000"/>
    </w:rPr>
  </w:style>
  <w:style w:type="paragraph" w:customStyle="1" w:styleId="NoNumTitle-Clause">
    <w:name w:val="No Num Title - Clause"/>
    <w:basedOn w:val="TitleClause"/>
    <w:qFormat/>
    <w:rsid w:val="002B4674"/>
    <w:pPr>
      <w:numPr>
        <w:numId w:val="0"/>
      </w:numPr>
      <w:ind w:left="720"/>
    </w:pPr>
  </w:style>
  <w:style w:type="paragraph" w:customStyle="1" w:styleId="NoNumTitlesubclause1">
    <w:name w:val="No Num Title subclause1"/>
    <w:basedOn w:val="Titlesubclause1"/>
    <w:qFormat/>
    <w:rsid w:val="002B4674"/>
    <w:pPr>
      <w:numPr>
        <w:ilvl w:val="0"/>
        <w:numId w:val="0"/>
      </w:numPr>
      <w:ind w:left="720"/>
    </w:pPr>
  </w:style>
  <w:style w:type="paragraph" w:customStyle="1" w:styleId="AddressLine">
    <w:name w:val="Address Line"/>
    <w:basedOn w:val="Paragraph"/>
    <w:qFormat/>
    <w:rsid w:val="002B4674"/>
  </w:style>
  <w:style w:type="paragraph" w:styleId="Date">
    <w:name w:val="Date"/>
    <w:basedOn w:val="Paragraph"/>
    <w:qFormat/>
    <w:rsid w:val="002B4674"/>
  </w:style>
  <w:style w:type="paragraph" w:customStyle="1" w:styleId="SalutationPara">
    <w:name w:val="Salutation Para"/>
    <w:basedOn w:val="Paragraph"/>
    <w:next w:val="Paragraph"/>
    <w:qFormat/>
    <w:rsid w:val="002B4674"/>
    <w:pPr>
      <w:spacing w:before="240"/>
    </w:pPr>
  </w:style>
  <w:style w:type="character" w:styleId="FollowedHyperlink">
    <w:name w:val="FollowedHyperlink"/>
    <w:basedOn w:val="DefaultParagraphFont"/>
    <w:uiPriority w:val="99"/>
    <w:semiHidden/>
    <w:unhideWhenUsed/>
    <w:rsid w:val="002B4674"/>
    <w:rPr>
      <w:i/>
      <w:color w:val="000000"/>
      <w:u w:val="single"/>
    </w:rPr>
  </w:style>
  <w:style w:type="character" w:customStyle="1" w:styleId="DefTerm">
    <w:name w:val="DefTerm"/>
    <w:basedOn w:val="DefaultParagraphFont"/>
    <w:uiPriority w:val="1"/>
    <w:qFormat/>
    <w:rsid w:val="002B4674"/>
    <w:rPr>
      <w:b/>
      <w:color w:val="000000"/>
    </w:rPr>
  </w:style>
  <w:style w:type="table" w:customStyle="1" w:styleId="ShadedTable">
    <w:name w:val="Shaded Table"/>
    <w:basedOn w:val="TableNormal"/>
    <w:uiPriority w:val="99"/>
    <w:rsid w:val="002B4674"/>
    <w:pPr>
      <w:spacing w:after="0" w:line="240" w:lineRule="auto"/>
    </w:pPr>
    <w:rPr>
      <w:color w:val="000000"/>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EEECE1" w:themeFill="background2"/>
    </w:tcPr>
  </w:style>
  <w:style w:type="paragraph" w:customStyle="1" w:styleId="Letterhead">
    <w:name w:val="Letterhead"/>
    <w:basedOn w:val="Paragraph"/>
    <w:qFormat/>
    <w:rsid w:val="002B4674"/>
    <w:rPr>
      <w:i/>
    </w:rPr>
  </w:style>
  <w:style w:type="paragraph" w:customStyle="1" w:styleId="LetterTitle">
    <w:name w:val="Letter Title"/>
    <w:basedOn w:val="Paragraph"/>
    <w:qFormat/>
    <w:rsid w:val="002B4674"/>
    <w:rPr>
      <w:b/>
    </w:rPr>
  </w:style>
  <w:style w:type="paragraph" w:customStyle="1" w:styleId="LongQuestionPara">
    <w:name w:val="Long Question Para"/>
    <w:basedOn w:val="Paragraph"/>
    <w:link w:val="LongQuestionParaChar"/>
    <w:rsid w:val="002B4674"/>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2B4674"/>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2B4674"/>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2B4674"/>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811D3A974D454A258B71E3C4DE24C4F210">
    <w:name w:val="811D3A974D454A258B71E3C4DE24C4F210"/>
    <w:rsid w:val="0077600E"/>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2B4674"/>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2B4674"/>
    <w:pPr>
      <w:jc w:val="center"/>
    </w:pPr>
    <w:rPr>
      <w:sz w:val="28"/>
    </w:rPr>
  </w:style>
  <w:style w:type="paragraph" w:customStyle="1" w:styleId="Title-Clause">
    <w:name w:val="Title - Clause"/>
    <w:aliases w:val="BIWS Heading 1"/>
    <w:basedOn w:val="Normal"/>
    <w:rsid w:val="002B4674"/>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2B4674"/>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2B4674"/>
    <w:pPr>
      <w:spacing w:before="120"/>
    </w:pPr>
    <w:rPr>
      <w:b w:val="0"/>
    </w:rPr>
  </w:style>
  <w:style w:type="paragraph" w:customStyle="1" w:styleId="CoversheetParagraph">
    <w:name w:val="Coversheet Paragraph"/>
    <w:basedOn w:val="Normal"/>
    <w:autoRedefine/>
    <w:rsid w:val="002B4674"/>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2B4674"/>
    <w:rPr>
      <w:smallCaps w:val="0"/>
      <w:sz w:val="22"/>
    </w:rPr>
  </w:style>
  <w:style w:type="paragraph" w:customStyle="1" w:styleId="CoversheetStaticText">
    <w:name w:val="Coversheet Static Text"/>
    <w:basedOn w:val="CoversheetIntro"/>
    <w:qFormat/>
    <w:rsid w:val="002B4674"/>
    <w:rPr>
      <w:b w:val="0"/>
    </w:rPr>
  </w:style>
  <w:style w:type="paragraph" w:customStyle="1" w:styleId="CoversheetParty">
    <w:name w:val="Coversheet Party"/>
    <w:basedOn w:val="CoversheetIntro"/>
    <w:qFormat/>
    <w:rsid w:val="002B4674"/>
  </w:style>
  <w:style w:type="paragraph" w:customStyle="1" w:styleId="NoNumUntitledClause">
    <w:name w:val="No Num Untitled Clause"/>
    <w:basedOn w:val="UntitledClause"/>
    <w:qFormat/>
    <w:rsid w:val="002B4674"/>
    <w:pPr>
      <w:numPr>
        <w:numId w:val="0"/>
      </w:numPr>
      <w:ind w:left="720"/>
    </w:pPr>
  </w:style>
  <w:style w:type="paragraph" w:customStyle="1" w:styleId="BackgroundSubclause1">
    <w:name w:val="Background Subclause1"/>
    <w:basedOn w:val="Background"/>
    <w:qFormat/>
    <w:rsid w:val="002B4674"/>
    <w:pPr>
      <w:numPr>
        <w:ilvl w:val="1"/>
      </w:numPr>
    </w:pPr>
  </w:style>
  <w:style w:type="paragraph" w:customStyle="1" w:styleId="BackgroundSubclause2">
    <w:name w:val="Background Subclause2"/>
    <w:basedOn w:val="Background"/>
    <w:qFormat/>
    <w:rsid w:val="002B4674"/>
    <w:pPr>
      <w:numPr>
        <w:ilvl w:val="3"/>
      </w:numPr>
    </w:pPr>
  </w:style>
  <w:style w:type="paragraph" w:customStyle="1" w:styleId="HeadingLevel2CQA">
    <w:name w:val="Heading Level 2 CQA"/>
    <w:basedOn w:val="HeadingLevel2"/>
    <w:qFormat/>
    <w:rsid w:val="002B4674"/>
  </w:style>
  <w:style w:type="paragraph" w:customStyle="1" w:styleId="ClauseBullet1">
    <w:name w:val="Clause Bullet 1"/>
    <w:basedOn w:val="ParaClause"/>
    <w:qFormat/>
    <w:rsid w:val="002B4674"/>
    <w:pPr>
      <w:numPr>
        <w:numId w:val="13"/>
      </w:numPr>
      <w:ind w:left="1077" w:hanging="357"/>
      <w:outlineLvl w:val="0"/>
    </w:pPr>
  </w:style>
  <w:style w:type="paragraph" w:customStyle="1" w:styleId="ClauseBullet2">
    <w:name w:val="Clause Bullet 2"/>
    <w:basedOn w:val="ParaClause"/>
    <w:qFormat/>
    <w:rsid w:val="002B4674"/>
    <w:pPr>
      <w:numPr>
        <w:numId w:val="14"/>
      </w:numPr>
      <w:ind w:left="1434" w:hanging="357"/>
      <w:outlineLvl w:val="1"/>
    </w:pPr>
  </w:style>
  <w:style w:type="paragraph" w:customStyle="1" w:styleId="subclause1Bullet1">
    <w:name w:val="subclause 1 Bullet 1"/>
    <w:basedOn w:val="Parasubclause1"/>
    <w:qFormat/>
    <w:rsid w:val="002B4674"/>
    <w:pPr>
      <w:numPr>
        <w:numId w:val="15"/>
      </w:numPr>
      <w:ind w:left="1077" w:hanging="357"/>
    </w:pPr>
  </w:style>
  <w:style w:type="paragraph" w:customStyle="1" w:styleId="subclause2Bullet1">
    <w:name w:val="subclause 2 Bullet 1"/>
    <w:basedOn w:val="Parasubclause2"/>
    <w:qFormat/>
    <w:rsid w:val="002B4674"/>
    <w:pPr>
      <w:numPr>
        <w:numId w:val="17"/>
      </w:numPr>
      <w:ind w:left="1434" w:hanging="357"/>
    </w:pPr>
  </w:style>
  <w:style w:type="paragraph" w:customStyle="1" w:styleId="subclause3Bullet1">
    <w:name w:val="subclause 3 Bullet 1"/>
    <w:basedOn w:val="Parasubclause3"/>
    <w:qFormat/>
    <w:rsid w:val="002B4674"/>
    <w:pPr>
      <w:numPr>
        <w:numId w:val="16"/>
      </w:numPr>
      <w:ind w:left="2273" w:hanging="357"/>
    </w:pPr>
  </w:style>
  <w:style w:type="paragraph" w:customStyle="1" w:styleId="subclause1Bullet2">
    <w:name w:val="subclause 1 Bullet 2"/>
    <w:basedOn w:val="Parasubclause1"/>
    <w:qFormat/>
    <w:rsid w:val="002B4674"/>
    <w:pPr>
      <w:numPr>
        <w:numId w:val="18"/>
      </w:numPr>
      <w:ind w:left="1434" w:hanging="357"/>
    </w:pPr>
  </w:style>
  <w:style w:type="paragraph" w:customStyle="1" w:styleId="subclause2Bullet2">
    <w:name w:val="subclause 2 Bullet 2"/>
    <w:basedOn w:val="Parasubclause2"/>
    <w:qFormat/>
    <w:rsid w:val="002B4674"/>
    <w:pPr>
      <w:numPr>
        <w:numId w:val="19"/>
      </w:numPr>
      <w:ind w:left="2273" w:hanging="357"/>
    </w:pPr>
  </w:style>
  <w:style w:type="paragraph" w:customStyle="1" w:styleId="subclause3Bullet2">
    <w:name w:val="subclause 3 Bullet 2"/>
    <w:basedOn w:val="Parasubclause3"/>
    <w:qFormat/>
    <w:rsid w:val="002B4674"/>
    <w:pPr>
      <w:numPr>
        <w:numId w:val="20"/>
      </w:numPr>
      <w:ind w:left="2982" w:hanging="357"/>
    </w:pPr>
  </w:style>
  <w:style w:type="paragraph" w:customStyle="1" w:styleId="DefinedTermBullet">
    <w:name w:val="Defined Term Bullet"/>
    <w:basedOn w:val="DefinedTermPara"/>
    <w:qFormat/>
    <w:rsid w:val="002B4674"/>
    <w:pPr>
      <w:numPr>
        <w:numId w:val="21"/>
      </w:numPr>
    </w:pPr>
  </w:style>
  <w:style w:type="paragraph" w:customStyle="1" w:styleId="DefinedTermNumber">
    <w:name w:val="Defined Term Number"/>
    <w:basedOn w:val="DefinedTermPara"/>
    <w:qFormat/>
    <w:rsid w:val="002B4674"/>
    <w:pPr>
      <w:numPr>
        <w:ilvl w:val="1"/>
      </w:numPr>
    </w:pPr>
  </w:style>
  <w:style w:type="paragraph" w:customStyle="1" w:styleId="AdditionalTitle">
    <w:name w:val="Additional Title"/>
    <w:basedOn w:val="Paragraph"/>
    <w:qFormat/>
    <w:rsid w:val="002B4674"/>
    <w:pPr>
      <w:jc w:val="left"/>
    </w:pPr>
    <w:rPr>
      <w:b/>
      <w:sz w:val="24"/>
    </w:rPr>
  </w:style>
  <w:style w:type="character" w:customStyle="1" w:styleId="error">
    <w:name w:val="error"/>
    <w:basedOn w:val="DefaultParagraphFont"/>
    <w:rsid w:val="002B4674"/>
    <w:rPr>
      <w:color w:val="000000"/>
    </w:rPr>
  </w:style>
  <w:style w:type="paragraph" w:customStyle="1" w:styleId="NoNumUntitledsubclause1">
    <w:name w:val="No Num Untitled subclause 1"/>
    <w:basedOn w:val="Untitledsubclause1"/>
    <w:qFormat/>
    <w:rsid w:val="002B4674"/>
    <w:pPr>
      <w:numPr>
        <w:ilvl w:val="0"/>
        <w:numId w:val="0"/>
      </w:numPr>
      <w:ind w:left="720"/>
    </w:pPr>
  </w:style>
  <w:style w:type="paragraph" w:customStyle="1" w:styleId="BackgroundParaClause">
    <w:name w:val="Background Para Clause"/>
    <w:basedOn w:val="Background"/>
    <w:qFormat/>
    <w:rsid w:val="002B4674"/>
    <w:pPr>
      <w:numPr>
        <w:numId w:val="0"/>
      </w:numPr>
    </w:pPr>
  </w:style>
  <w:style w:type="paragraph" w:customStyle="1" w:styleId="BackgroundParaSubclause1">
    <w:name w:val="Background Para Subclause1"/>
    <w:basedOn w:val="BackgroundSubclause1"/>
    <w:qFormat/>
    <w:rsid w:val="002B4674"/>
    <w:pPr>
      <w:numPr>
        <w:ilvl w:val="0"/>
        <w:numId w:val="0"/>
      </w:numPr>
      <w:ind w:left="994"/>
    </w:pPr>
    <w:rPr>
      <w:lang w:val="en-US"/>
    </w:rPr>
  </w:style>
  <w:style w:type="paragraph" w:customStyle="1" w:styleId="BackgroundParaSubclause2">
    <w:name w:val="Background Para Subclause2"/>
    <w:basedOn w:val="BackgroundSubclause2"/>
    <w:qFormat/>
    <w:rsid w:val="002B4674"/>
    <w:pPr>
      <w:numPr>
        <w:ilvl w:val="0"/>
        <w:numId w:val="0"/>
      </w:numPr>
      <w:ind w:left="1701"/>
    </w:pPr>
    <w:rPr>
      <w:lang w:val="en-US"/>
    </w:rPr>
  </w:style>
  <w:style w:type="paragraph" w:customStyle="1" w:styleId="ClauseBulletPara">
    <w:name w:val="Clause Bullet Para"/>
    <w:basedOn w:val="ClauseBullet1"/>
    <w:qFormat/>
    <w:rsid w:val="002B4674"/>
    <w:pPr>
      <w:numPr>
        <w:numId w:val="0"/>
      </w:numPr>
      <w:ind w:left="1080"/>
    </w:pPr>
    <w:rPr>
      <w:lang w:val="en-US"/>
    </w:rPr>
  </w:style>
  <w:style w:type="paragraph" w:customStyle="1" w:styleId="ClauseBullet2Para">
    <w:name w:val="Clause Bullet 2 Para"/>
    <w:basedOn w:val="ClauseBullet2"/>
    <w:qFormat/>
    <w:rsid w:val="002B4674"/>
    <w:pPr>
      <w:numPr>
        <w:numId w:val="0"/>
      </w:numPr>
      <w:ind w:left="1440"/>
    </w:pPr>
    <w:rPr>
      <w:lang w:val="en-US"/>
    </w:rPr>
  </w:style>
  <w:style w:type="paragraph" w:customStyle="1" w:styleId="ACTJurisdictionCheckList">
    <w:name w:val="ACTJurisdictionCheckList"/>
    <w:basedOn w:val="Normal"/>
    <w:rsid w:val="002B4674"/>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2B4674"/>
  </w:style>
  <w:style w:type="paragraph" w:customStyle="1" w:styleId="EmptyClausePara">
    <w:name w:val="Empty Clause Para"/>
    <w:basedOn w:val="IgnoredSpacing"/>
    <w:qFormat/>
    <w:rsid w:val="002B4674"/>
  </w:style>
  <w:style w:type="paragraph" w:styleId="ListParagraph">
    <w:name w:val="List Paragraph"/>
    <w:basedOn w:val="Normal"/>
    <w:uiPriority w:val="34"/>
    <w:qFormat/>
    <w:rsid w:val="002B4674"/>
    <w:pPr>
      <w:ind w:left="720"/>
      <w:contextualSpacing/>
    </w:pPr>
  </w:style>
  <w:style w:type="paragraph" w:customStyle="1" w:styleId="ScheduleTitlesubclause1">
    <w:name w:val="Schedule Title subclause1"/>
    <w:basedOn w:val="ScheduleUntitledsubclause1"/>
    <w:qFormat/>
    <w:rsid w:val="002B4674"/>
    <w:pPr>
      <w:spacing w:before="120"/>
    </w:pPr>
    <w:rPr>
      <w:b/>
    </w:rPr>
  </w:style>
  <w:style w:type="paragraph" w:customStyle="1" w:styleId="BulletList1Pattern">
    <w:name w:val="Bullet List 1 + Pattern"/>
    <w:basedOn w:val="BulletList1"/>
    <w:qFormat/>
    <w:rsid w:val="002B4674"/>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2B4674"/>
    <w:pPr>
      <w:shd w:val="clear" w:color="auto" w:fill="D9D9D9" w:themeFill="background1" w:themeFillShade="D9"/>
      <w:ind w:left="1077"/>
    </w:pPr>
  </w:style>
  <w:style w:type="paragraph" w:customStyle="1" w:styleId="SectorSpecificNoteTitle">
    <w:name w:val="Sector Specific Note Title"/>
    <w:basedOn w:val="JurisdictionDraftingnoteTitle"/>
    <w:qFormat/>
    <w:rsid w:val="002B4674"/>
  </w:style>
  <w:style w:type="table" w:customStyle="1" w:styleId="ShadedTable1">
    <w:name w:val="Shaded Table1"/>
    <w:basedOn w:val="TableNormal"/>
    <w:uiPriority w:val="99"/>
    <w:rsid w:val="002B4674"/>
    <w:pPr>
      <w:spacing w:after="0" w:line="240" w:lineRule="auto"/>
    </w:pPr>
    <w:rPr>
      <w:color w:val="000000"/>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EEECE1" w:themeFill="background2"/>
    </w:tcPr>
  </w:style>
  <w:style w:type="character" w:styleId="CommentReference">
    <w:name w:val="annotation reference"/>
    <w:basedOn w:val="DefaultParagraphFont"/>
    <w:uiPriority w:val="99"/>
    <w:semiHidden/>
    <w:unhideWhenUsed/>
    <w:rsid w:val="00002E1D"/>
    <w:rPr>
      <w:color w:val="000000"/>
      <w:sz w:val="16"/>
      <w:szCs w:val="16"/>
    </w:rPr>
  </w:style>
  <w:style w:type="paragraph" w:styleId="CommentText">
    <w:name w:val="annotation text"/>
    <w:basedOn w:val="Normal"/>
    <w:link w:val="CommentTextChar"/>
    <w:uiPriority w:val="99"/>
    <w:unhideWhenUsed/>
    <w:rsid w:val="00002E1D"/>
    <w:pPr>
      <w:spacing w:line="240" w:lineRule="auto"/>
    </w:pPr>
    <w:rPr>
      <w:sz w:val="20"/>
      <w:szCs w:val="20"/>
    </w:rPr>
  </w:style>
  <w:style w:type="character" w:customStyle="1" w:styleId="CommentTextChar">
    <w:name w:val="Comment Text Char"/>
    <w:basedOn w:val="DefaultParagraphFont"/>
    <w:link w:val="CommentText"/>
    <w:uiPriority w:val="99"/>
    <w:rsid w:val="00002E1D"/>
    <w:rPr>
      <w:color w:val="000000"/>
      <w:sz w:val="20"/>
      <w:szCs w:val="20"/>
    </w:rPr>
  </w:style>
  <w:style w:type="paragraph" w:styleId="CommentSubject">
    <w:name w:val="annotation subject"/>
    <w:basedOn w:val="CommentText"/>
    <w:next w:val="CommentText"/>
    <w:link w:val="CommentSubjectChar"/>
    <w:uiPriority w:val="99"/>
    <w:semiHidden/>
    <w:unhideWhenUsed/>
    <w:rsid w:val="00002E1D"/>
    <w:rPr>
      <w:b/>
      <w:bCs/>
    </w:rPr>
  </w:style>
  <w:style w:type="character" w:customStyle="1" w:styleId="CommentSubjectChar">
    <w:name w:val="Comment Subject Char"/>
    <w:basedOn w:val="CommentTextChar"/>
    <w:link w:val="CommentSubject"/>
    <w:uiPriority w:val="99"/>
    <w:semiHidden/>
    <w:rsid w:val="00002E1D"/>
    <w:rPr>
      <w:b/>
      <w:bCs/>
      <w:color w:val="000000"/>
      <w:sz w:val="20"/>
      <w:szCs w:val="20"/>
    </w:rPr>
  </w:style>
  <w:style w:type="character" w:customStyle="1" w:styleId="UnresolvedMention1">
    <w:name w:val="Unresolved Mention1"/>
    <w:basedOn w:val="DefaultParagraphFont"/>
    <w:uiPriority w:val="99"/>
    <w:semiHidden/>
    <w:unhideWhenUsed/>
    <w:rsid w:val="00A839ED"/>
    <w:rPr>
      <w:color w:val="000000"/>
      <w:shd w:val="clear" w:color="auto" w:fill="E6E6E6"/>
    </w:rPr>
  </w:style>
  <w:style w:type="paragraph" w:customStyle="1" w:styleId="IgnoredEmptysubclause">
    <w:name w:val="Ignored Empty subclause"/>
    <w:basedOn w:val="Normal"/>
    <w:link w:val="IgnoredEmptysubclauseChar"/>
    <w:qFormat/>
    <w:rsid w:val="002B4674"/>
  </w:style>
  <w:style w:type="character" w:customStyle="1" w:styleId="IgnoredEmptysubclauseChar">
    <w:name w:val="Ignored Empty subclause Char"/>
    <w:basedOn w:val="DefaultParagraphFont"/>
    <w:link w:val="IgnoredEmptysubclause"/>
    <w:rsid w:val="002B4674"/>
    <w:rPr>
      <w:color w:val="000000"/>
    </w:rPr>
  </w:style>
  <w:style w:type="paragraph" w:customStyle="1" w:styleId="FE9FEA9CC0E94E0FA5EFE209CA58453E">
    <w:name w:val="FE9FEA9CC0E94E0FA5EFE209CA58453E"/>
    <w:rsid w:val="00C97B72"/>
    <w:pPr>
      <w:spacing w:after="160" w:line="259" w:lineRule="auto"/>
    </w:pPr>
    <w:rPr>
      <w:color w:val="000000"/>
      <w:lang w:val="en-US" w:eastAsia="en-US"/>
    </w:rPr>
  </w:style>
  <w:style w:type="paragraph" w:styleId="TOC1">
    <w:name w:val="toc 1"/>
    <w:basedOn w:val="Normal"/>
    <w:next w:val="Normal"/>
    <w:autoRedefine/>
    <w:rsid w:val="00805BCE"/>
    <w:pPr>
      <w:spacing w:after="100" w:line="240" w:lineRule="auto"/>
    </w:pPr>
  </w:style>
  <w:style w:type="paragraph" w:styleId="NoSpacing">
    <w:name w:val="No Spacing"/>
    <w:link w:val="NoSpacingChar"/>
    <w:uiPriority w:val="1"/>
    <w:qFormat/>
    <w:rsid w:val="009460E8"/>
    <w:pPr>
      <w:spacing w:after="0" w:line="240" w:lineRule="auto"/>
    </w:pPr>
    <w:rPr>
      <w:lang w:val="en-US" w:eastAsia="en-US"/>
    </w:rPr>
  </w:style>
  <w:style w:type="character" w:customStyle="1" w:styleId="NoSpacingChar">
    <w:name w:val="No Spacing Char"/>
    <w:basedOn w:val="DefaultParagraphFont"/>
    <w:link w:val="NoSpacing"/>
    <w:uiPriority w:val="1"/>
    <w:rsid w:val="009460E8"/>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n-document xmlns:xsd="http://www.w3.org/2001/XMLSchema" xmlns:xsi="http://www.w3.org/2001/XMLSchema-instance" guid="0" synced="true" validated="true">
  <n-docbody>
    <standard.doc precedenttype="agreement">
      <prelim>
        <product.name>product.name0</product.name>
        <title>Cookie policy (UK)</title>
        <author>Richard Kemp of Kemp IT Law and Practical Law Data Protection</author>
        <resource.type>Standard documents</resource.type>
        <juris>juris0</juris>
        <juris>juris1</juris>
      </prelim>
      <abstract>
        <para>
          <paratext>
            A long-form cookie policy, forming part of a layered approach, providing internet users with information about a website operator's use of cookies, as required by the Privacy and Electronic Communications (EC Directive) (Amendment) Regulations 2003 (
            <ital>SI 2003/2426</ital>
            ) (PECR) (as amended), the UK General Data Protection Regulation and the Data Protection Act 2018
          </paratext>
        </para>
      </abstract>
      <toc.identifier hasToc="true"/>
      <body>
        <drafting.note id="a346952" jurisdiction="">
          <head align="left" preservecase="true">
            <headtext>About this document</headtext>
          </head>
          <division id="a000013" level="1">
            <para>
              <paratext>
                This cookie policy forms part of a layered approach that website operators may take to comply with their obligations under the 
                <link href="https://uk.practicallaw.thomsonreuters.com/1-507-2637?originationContext=document&amp;amp;transitionType=PLDocumentLink&amp;amp;contextData=(sc.Default)" style="ACTLinkURL">
                  <ital>Privacy and Electronic Communications (EC Directive) Regulations 2003</ital>
                </link>
                 (
                <ital>SI 2003/2426</ital>
                ) (PECR 2003) (as amended), the 
                <link href="https://uk.practicallaw.thomsonreuters.com/Document/I5001D540149911E9AF43FBE4B595A7D5/View/FullText.html?comp=pluk&amp;amp;transitionType=Default&amp;amp;contextData=(sc.Default)" style="ACTLinkURL">
                  <ital>UK GDPR</ital>
                </link>
                 (that is the 
                <link href="https://uk.practicallaw.thomsonreuters.com/w-019-6282?originationContext=document&amp;amp;transitionType=DocumentItem&amp;amp;contextData=(sc.Default)" style="ACTLinkURL">
                  <ital>retained EU law</ital>
                </link>
                 version of the 
                <link href="https://uk.practicallaw.thomsonreuters.com/6-631-1875?originationContext=document&amp;amp;transitionType=PLDocumentLink&amp;amp;contextData=(sc.Default)" style="ACTLinkURL">
                  <ital>General Data Protection Regulation ((EU) 2016/679)</ital>
                </link>
                ) (
                <link href="https://uk.practicallaw.thomsonreuters.com/w-026-8528?originationContext=document&amp;amp;transitionType=DocumentItem&amp;amp;contextData=(sc.Default)" style="ACTLinkURL">
                  <ital>UK GDPR</ital>
                </link>
                ) and the 
                <link href="w-014-9417" style="ACTLinkPLCtoPLC">
                  <ital>Data Protection Act 2018</ital>
                </link>
                 (DPA 2018) as they can link to this underlying cookie policy from the first layer cookie banner or short-form notice (see 
                <link href="7-517-2182" style="ACTLinkPLCtoPLC">
                  <ital>Standard clauses, Information about cookies: short-form notice (PECR, UK GDPR and DPA 2018) (UK)</ital>
                </link>
                ). They can also link to the cookie policy directly from a prominent place on their website (such as the website header or footer). The use of cookies should also be referred to in a website privacy policy and a link to the cookie policy included (see 
                <link anchor="a179246" href="w-013-3605" style="ACTLinkPLCtoPLC">
                  <ital>Standard document, Website privacy policy (UK): How we use your personal data</ital>
                </link>
                ).  See also, 
                <internal.reference refid="a243642">Drafting note, Layered approach</internal.reference>
                .
              </paratext>
            </para>
            <para>
              <paratext>
                This resource reflects current UK data protection legislation, but it will be affected by the government's proposals for legislative reform of the UK data protection regime when enacted. See the 
                <link href="w-010-6097" style="ACTLinkPLCtoPLC">
                  <ital>UK data protection legislation tracker</ital>
                </link>
                 for details.
              </paratext>
            </para>
            <para>
              <paratext>
                As the 
                <link href="w-026-8527" style="ACTLinkPLCtoPLC">
                  <ital>EU GDPR</ital>
                </link>
                 has extraterritorial effect (see Article 3, EU GDPR), the EU GDPR may also apply to UK 
                <link href="5-107-5723" style="ACTLinkPLCtoPLC">
                  <ital>controllers</ital>
                </link>
                 or 
                <link href="2-384-8947" style="ACTLinkPLCtoPLC">
                  <ital>processors</ital>
                </link>
                 who have an establishment in the EU, or who offer goods or services to data subjects in the EU, or who monitor their behaviour as far as their behaviour takes place within the EU. Such organisations may therefore find themselves subject to dual data protection regulatory regimes under the UK GDPR and the EU GDPR.  See 
                <internal.reference refid="a687503">Drafting note, EU GDPR applicability</internal.reference>
                .
              </paratext>
            </para>
            <para>
              <paratext>For the purposes of this document we have assumed that we are dealing with an organisation based in the UK which does not provide goods or services to EU data subjects or monitor their behaviour. For that reason, we refer only to compliance with the DPA 2018 and the UK GDPR (as well as PECR where relevant).</paratext>
            </para>
            <para>
              <paratext>
                This cookie policy, and particularly the table (see 
                <internal.reference refid="a256842">Drafting note, Cookie table</internal.reference>
                ), should be tailored to reflect the specific types of cookies used by the organisation and the purposes for which they are used.
              </paratext>
            </para>
            <division id="a687503" level="2">
              <head align="left" preservecase="true">
                <headtext>EU GDPR applicability</headtext>
              </head>
              <para>
                <paratext>
                  As the 
                  <link href="https://uk.practicallaw.thomsonreuters.com/6-631-1875?originationContext=document&amp;amp;transitionType=PLDocumentLink&amp;amp;contextData=(sc.Default)" style="ACTLinkURL">
                    <ital>EU GDPR</ital>
                  </link>
                   has extra-territorial effect (see 
                  <ital>Article 3, EU GDPR</ital>
                  ), the EU GDPR may also apply to UK controllers or processors who have an establishment in the EU, or who offer goods or services to data subjects in the EU, or who monitor their behaviour as far as their behaviour takes place within the EU. Monitoring encompasses a broad range of activities, including:
                </paratext>
              </para>
              <list type="bulleted">
                <list.item>
                  <para>
                    <paratext>Behavioural advertising.</paratext>
                  </para>
                </list.item>
                <list.item>
                  <para>
                    <paratext>Geo-location activities, in particular for marketing purposes.</paratext>
                  </para>
                </list.item>
                <list.item>
                  <para>
                    <paratext>Online tracking, through the use of cookies or other tracking techniques.</paratext>
                  </para>
                </list.item>
                <list.item>
                  <para>
                    <paratext>Personalised diet and health analytics services online.</paratext>
                  </para>
                </list.item>
                <list.item>
                  <para>
                    <paratext>CCTV.</paratext>
                  </para>
                </list.item>
                <list.item>
                  <para>
                    <paratext>Market surveys and other behavioural studies based on individual profiles.</paratext>
                  </para>
                </list.item>
                <list.item>
                  <para>
                    <paratext>Monitoring or regular reporting on an individual’s health status.</paratext>
                  </para>
                </list.item>
              </list>
              <para>
                <paratext>
                  Organisations carrying out such activities may therefore find themselves subject to dual data protection regulatory regimes under the 
                  <link href="https://uk.practicallaw.thomsonreuters.com/w-027-1020?originationContext=document&amp;amp;transitionType=PLDocumentLink&amp;amp;contextData=(sc.Default)" style="ACTLinkURL">
                    <ital>UK GDPR</ital>
                  </link>
                   and the 
                  <link href="w-026-8527" style="ACTLinkPLCtoPLC">
                    <ital>EU GDPR</ital>
                  </link>
                  . For more information see 
                  <link href="w-035-9188" style="ACTLinkPLCtoPLC">
                    <ital>Practice note, Processing personal data: applicability of EU GDPR and UK GDPR</ital>
                  </link>
                   and 
                  <link anchor="cookies3" href="https://ico.org.uk/for-organisations/direct-marketing-and-privacy-and-electronic-communications/guide-to-pecr/guidance-on-the-use-of-cookies-and-similar-technologies/what-else-do-we-need-to-consider/" style="ACTLinkURL">
                    <ital>ICO: Guidance on the use of cookies and similar technologies: What about cookies set on overseas websites?</ital>
                  </link>
                  .
                </paratext>
              </para>
              <para>
                <paratext>
                  The parties may therefore wish to do some due diligence as to whether other data protection legislation, in particular the EU GDPR, may apply, in particular where a party also has an establishment in the EU, is offering goods or services to EU data subjects or monitoring their behaviour within the EU or where the personal data was previously processed under the EU GDPR prior to Brexit, relates to EU data subjects and is classed as legacy data (until such time as the UK achieves an adequacy finding) (see 
                  <link anchor="co_anchor_a262573" href="https://uk.practicallaw.thomsonreuters.com/w-026-2740?originationContext=document&amp;amp;transitionType=DocumentItem&amp;amp;contextData=(sc.Default)" style="ACTLinkURL">
                    <ital>Practice note, Brexit post-transition period: data protection (UK): Data processed or obtained before end of the transition period</ital>
                  </link>
                  ).
                </paratext>
              </para>
              <para>
                <paratext>
                  This policy can be adapted for a UK organisation also subject to the EU GDPR (see 
                  <link anchor="a743284" href="w-016-7485" style="ACTLinkPLCtoPLC">
                    <ital>Practice note, Cookies: impact of UK GDPR and DPA 2018: complaints about tracking cookies</ital>
                  </link>
                  ).
                </paratext>
              </para>
            </division>
            <division id="a928479" level="2">
              <head align="left" preservecase="true">
                <headtext>What are cookies and what is the law applicable to them?</headtext>
              </head>
              <para>
                <paratext>Cookies are small data files that most website operators place on the browser or hard drive of their user's computer, smartphone, Smart TV or other smart device. Cookies can gather information about the user's use of the website, enable the website to recognise the user as an existing customer when they return to the website at a later date and provide security, for example, in online banking.</paratext>
              </para>
              <para>
                <paratext>
                  Recital 30 to the UK GDPR defines online identifiers as including cookies and, where cookies can identify an individual, they are considered to be personal data subject to the UK GDPR. In particular, the UK GDPR states that cookies, when combined with unique identifiers and other information received by servers, may be used to create profiles of individuals and identify them (see 
                  <link anchor="a415115" href="w-016-7485" style="ACTLinkPLCtoPLC">
                    <ital>Practice note, Cookies: impact of UK GDPR and DPA 2018: What are cookies?</ital>
                  </link>
                   and 
                  <link anchor="a681347" href="w-016-7485" style="ACTLinkPLCtoPLC">
                    <ital>Is a cookie personal data?</ital>
                  </link>
                  ). The collection and use of cookies therefore has to comply with the UK GDPR and the DPA 2018 (see 
                  <internal.reference refid="a813382">Drafting note, Cookies and personal data</internal.reference>
                  ).
                </paratext>
              </para>
              <para>
                <paratext>
                  However, 
                  <link href="https://uk.practicallaw.thomsonreuters.com/5-508-3605?originationContext=document&amp;amp;transitionType=PLDocumentLink&amp;amp;contextData=(sc.Default)" style="ACTLinkURL">
                    <ital>Regulation 6(1)</ital>
                  </link>
                   of PECR 2003 as amended by the 
                  <link href="https://uk.practicallaw.thomsonreuters.com/7-508-3063?originationContext=document&amp;amp;transitionType=PLDocumentLink&amp;amp;contextData=(sc.Default)" style="ACTLinkURL">
                    <ital>Privacy and Electronic Communications (EC Directive) (Amendment) Regulations 2011 (SI 2011/1208)</ital>
                  </link>
                   (PECR 2011) (together, PECR), are the main source of the obligations for website operators that set cookies and access information on their users' equipment to:
                </paratext>
              </para>
              <list type="bulleted">
                <list.item>
                  <para>
                    <paratext>Provide internet users with clear and comprehensive information about the purposes for which cookies are stored and accessed.</paratext>
                  </para>
                </list.item>
                <list.item>
                  <para>
                    <paratext>
                      Obtain users' consent (see 
                      <internal.reference refid="a976453">Drafting note, Consent to receive cookies</internal.reference>
                      ).
                    </paratext>
                  </para>
                </list.item>
              </list>
              <para>
                <paratext>
                  PECR applies with UK GDPR standard of consent, which requires a clear affirmative action (opt-in) to the use of, storage of and access to cookies. The ICO has published guidance on consent (see 
                  <link href="w-014-6938" style="ACTLinkPLCtoPLC">
                    <ital>Legal update, ICO publishes final version of consent guidance</ital>
                  </link>
                  ). For further information see 
                  <internal.reference refid="a976453">Drafting note, Consent to receive cookies</internal.reference>
                   and 
                  <link anchor="a566706" href="w-016-7485" style="ACTLinkPLCtoPLC">
                    <ital>Practice note, Cookies: UK issues and the impact of UK GDPR and DPA 2018: Consent requirements</ital>
                  </link>
                  .
                </paratext>
              </para>
              <para>
                <paratext>
                  PECR does not define what "clear and comprehensive information" means. However, Article 5(3) of the 
                  <link href="w-019-6282" style="ACTLinkPLCtoPLC">
                    <ital>retained EU law</ital>
                  </link>
                   version of the 
                  <link href="https://uk.practicallaw.thomsonreuters.com/2-507-2632?originationContext=document&amp;amp;transitionType=PLDocumentLink&amp;amp;contextData=(sc.Default)" style="ACTLinkURL">
                    <ital>E-Privacy Directive (2002/58/EC)</ital>
                  </link>
                   says that clear and comprehensive information should be provided "in accordance with" data protection law; this relates to the UK GDPR's transparency requirements and the right to be informed. This means that providers must provide the same kind of information to users and subscribers as they would if processing their personal data. For example, the information has to cover the cookies used and the purposes for which they will be used. These requirements also apply to cookies set by any third parties whose technologies the provider's service incorporates, such as online advertising networks or social media platforms. For further information see 
                  <link anchor="co_anchor_a364411" href="https://uk.practicallaw.thomsonreuters.com/w-016-7485?originationContext=document&amp;amp;transitionType=DocumentItem&amp;amp;contextData=(sc.Default)" style="ACTLinkURL">
                    <ital>Practice note, Cookies. impact of the UK GDPR and DPA 2018: Information requirements</ital>
                  </link>
                   and 
                  <link anchor="co_anchor_a986735" href="https://uk.practicallaw.thomsonreuters.com/w-016-7485?originationContext=document&amp;amp;transitionType=DocumentItem&amp;amp;contextData=(sc.Default)" style="ACTLinkURL">
                    <ital>GDPR transparency and how can consent to cookies be validly obtained? </ital>
                  </link>
                </paratext>
              </para>
              <para>
                <paratext>
                  In March 2019, an ECJ ruling shed further light on the meaning of "consent" and "information requirements". Advocate General Szpunar delivered his Opinion that consent to cookies must be "active and separate", (in this scenario) from confirmation of participation in an online promotional lottery (see 
                  <link href="https://uk.practicallaw.thomsonreuters.com/w-019-7543?originationContext=document&amp;amp;transitionType=DocumentItem&amp;amp;contextData=(sc.Default)" style="ACTLinkURL">
                    <ital>Legal update, Opinion that cookie consent must be active and separate (Advocate General)</ital>
                  </link>
                  . On 1 October 2019, the ECJ agreed, ruling that a website user's consent must be active and specific. Further that Article 5(3) of the E-Privacy Directive "must be interpreted as meaning that the information that the service provider must give to a website user includes the duration of the operation of cookies and whether or not third parties may have access to those cookies"
                  <bold>. </bold>
                  The ECJ did not consider, however, whether the requirement that valid consent be "freely given" is compatible with requiring a user to consent to the use of their personal data for advertising purposes, as a prerequisite for participation in a lottery, as the question had not been referred (see 
                  <link href="D-104-5886" style="ACTLinkPLCtoPLC">
                    <ital>Bundesverband der Verbraucherzentralen und Verbraucherverbände – Verbraucherzentrale Bundesverband eV v Planet49 GmbH (Case C-673/17) EU:C:2019:801 (1 October 2019)</ital>
                  </link>
                   (Planet49)). For further information see 
                  <link href="https://uk.practicallaw.thomsonreuters.com/w-022-2794?originationContext=document&amp;amp;transitionType=DocumentItem&amp;amp;contextData=(sc.Default)" style="ACTLinkURL">
                    <ital>Legal update, Preliminary ruling that cookie consent must be active and specific (ECJ)</ital>
                  </link>
                   and 
                  <link href="http://in-houseblog.practicallaw.com/crunch-time-for-cookies/" style="ACTLinkURL">
                    <ital>Blog, Crunch time for cookies?</ital>
                  </link>
                  .
                </paratext>
              </para>
              <para>
                <paratext>
                  There are some limited exemptions from the consent and information requirements (see 
                  <internal.reference refid="a949593">Drafting note, Limited exemptions</internal.reference>
                  ).
                </paratext>
              </para>
            </division>
            <division id="a869878" level="2">
              <head align="left" preservecase="true">
                <headtext>EDPB final report on work of Cookie Banner Taskforce and ICO approach</headtext>
              </head>
              <para>
                <paratext>
                  On 17 January 2023, the 
                  <link href="w-014-9105" style="ACTLinkPLCtoPLC">
                    <ital>European Data Protection Board </ital>
                  </link>
                   (EDPB) adopted its final 
                  <link href="https://edpb.europa.eu/system/files/2023-01/edpb_20230118_report_cookie_banner_taskforce_en.pdf" style="ACTLinkURL">
                    <ital>Report of the work undertaken by the Cookie Banner Taskforce</ital>
                  </link>
                   setting out the common positions of the EDPB and EU member state supervisory authorities on interpreting EU cookie law contained in the 
                  <link href="2-507-2632" style="ACTLinkPLCtoPLC">
                    <ital>E-Privacy Directive (2002/58/EC)</ital>
                  </link>
                   (and the corresponding consent provisions in the EU GDPR).
                </paratext>
              </para>
              <para>
                <paratext>The EDPB report notes that its findings must be read in conjunction with the national laws in the EU member states that transposed the E-Privacy Directive. The key points are as follows:</paratext>
              </para>
              <list type="bulleted">
                <list.item>
                  <para>
                    <paratext>The first layer of the cookie banner should have a button allowing users to "Reject All" cookies. However, the report indicates that this is the position of the "majority" of supervisory authorities and that a minority took a dissenting view, given that a "Reject All" button is not an explicit requirement of the E-Privacy Directive’s provisions on cookie consent.</paratext>
                  </para>
                  <para>
                    <paratext>
                      The 
                      <link href="3-107-6262" style="ACTLinkPLCtoPLC">
                        <ital>Information Commissioner's Office</ital>
                      </link>
                       (ICO) has however endorsed the EDPB's approach on this point by stating that "a website’s cookie banner should make it as easy to reject non-essential cookies as it is to accept them." (see ICO's blog, 
                      <link href="https://ico.org.uk/about-the-ico/media-centre/news-and-blogs/2023/08/it-s-time-to-end-damaging-website-design-practices-that-may-harm-your-users/" style="ACTLinkURL">
                        <ital>It’s time to end damaging website design practices that may harm your users</ital>
                      </link>
                      , 9 August 2023). The ICO's position is that "Accept All" and "Reject All" options must be presented by the website owner with equal prominence; the user must understand what they mean and must not be nudged towards one over the other. Further the ICO stated that it will be assessing the cookie banners of the most frequently used websites in the UK and that it will take enforcement action where it believes that harmful design is affecting consumers, for example where organisations do not include a "Reject All" option in the first layer of their cookie consent mechanism (typically the cookie banner) (see joint ICO-CMA position paper "
                      <link href="https://www.drcf.org.uk/publications/papers/ico-cma-joint-paper-on-harmful-design-in-digital-practices" style="ACTLinkURL">
                        <ital>Harmful design in digital markets: How Online Choice Architecture practices can undermine consumer choice and control over personal information</ital>
                      </link>
                      " and 
                      <link href="w-040-4335" style="ACTLinkPLCtoPLC">
                        <ital>Legal update, ICO and CMA target cookie banners and call for businesses to stop using harmful website designs</ital>
                      </link>
                      ). In November 2023, the ICO wrote to companies running many of the UK's most visited websites warning them that they face enforcement action if they fail to comply with data protection law, including giving visitors fair choices over whether or not to be tracked for personalised advertising. The ICO will provide an update on its work in this area early in 2024, including details of companies that have not addressed the ICO's concerns (see 
                      <link href="w-041-4644" style="ACTLinkPLCtoPLC">
                        <ital>Legal update, ICO warns UK's most visited websites to improve on cookie choices for personalised advertising</ital>
                      </link>
                      ).  For an example, see 
                      <link href="7-517-2182" style="ACTLinkPLCtoPLC">
                        <ital>Standard clauses, Information about cookies: short-form notice (UK)</ital>
                      </link>
                      .
                    </paratext>
                  </para>
                </list.item>
              </list>
              <list type="bulleted">
                <list.item>
                  <para>
                    <paratext>Cookie banners should not include pre-selected buttons and should avoid nudging or forcing users to accept cookies (so-called "dark patterns"). This is not a surprising finding and indeed it reflects the position of the ICO when interpreting PECR.</paratext>
                  </para>
                </list.item>
                <list.item>
                  <para>
                    <paratext>Pre-ticked boxes cannot be used as a means of obtaining consent to the use of cookies. This again is unsurprising and reflects the position in the EU GDPR and the UK GDPR with regard to what amounts to a valid consent.</paratext>
                  </para>
                </list.item>
                <list.item>
                  <para>
                    <paratext>The common practice of including "legitimate interests" in a cookie policy as the legal basis for the use of non-essential cookies (for example, targeted advertising cookies) is prohibited. Website owners must always seek consent for the use of non-essential cookies as required under the E-Privacy Directive (and consent would therefore be the corresponding legal basis under the EU GDPR for any personal data processed through the use of such cookies).</paratext>
                  </para>
                </list.item>
              </list>
              <para>
                <paratext>
                  See also, 
                  <internal.reference refid="a224263">Drafting note, Review of E-Privacy Directive and Draft E-Privacy Regulation</internal.reference>
                  <ital>.</ital>
                </paratext>
              </para>
            </division>
            <division id="a416699" level="2">
              <head align="left" preservecase="true">
                <headtext>Status of EDPB guidelines</headtext>
              </head>
              <para>
                <paratext>
                  The ICO has stated that although EDPB guidelines are no longer directly relevant to or binding on the UK data protection regime, they may still provide helpful guidance on certain issues and will, of course, still be relevant in an EU context. We therefore refer to them in this drafting note. Indeed, the ICO has followed and cited certain EDPB guidelines in some of its enforcement decisions post-Brexit, including for example in its enforcement action against TikTok in April 2023 for breaches of the transparency obligations in the UK GDPR (see 
                  <link href="w-039-0777" style="ACTLinkPLCtoPLC">
                    <ital>Legal update, ICO fines TikTok £12.7 million for misuse of children's personal data</ital>
                  </link>
                  ).
                </paratext>
              </para>
            </division>
            <division id="a243642" level="2">
              <head align="left" preservecase="true">
                <headtext>Layered approach</headtext>
              </head>
              <para>
                <paratext>
                  When adopting a layered approach to the provision of information about cookies and obtaining consent, the website operator can provide an opt-in button in the short-form notice or cookie banner (the first layer), together with a "reject all" button and a button or a link to where the user can manage their preferences for each specific type of cookie (the consent preference solution is typically located in the underlying cookie policy, as a second layer).  The ICO's 
                  <link href="https://ico.org.uk/for-organisations/direct-marketing-and-privacy-and-electronic-communications/guide-to-pecr/guidance-on-the-use-of-cookies-and-similar-technologies/" style="ACTLinkURL">
                    <ital>Guidance on the use of cookies and similar technologies</ital>
                  </link>
                   (ICO Cookies Guidance) warns that a consent mechanism that emphasis "agree" or "allow" over "reject" or "block" represents a non-compliant approach (see 
                  <internal.reference refid="a976453">Drafting note, Consent to receive cookies</internal.reference>
                  ).
                </paratext>
              </para>
            </division>
            <division id="a949593" level="2">
              <head align="left" preservecase="true">
                <headtext>Limited exemptions</headtext>
              </head>
              <para>
                <paratext>PECR provides two limited exemptions from the need to provide information to users and gain their consent.  The exceptions apply where the storage of, or access to, information is:</paratext>
              </para>
              <list type="bulleted">
                <list.item>
                  <para>
                    <paratext>
                      For the sole purpose of carrying out or facilitating the transmission of a communication over an electronic communications network (
                      <ital>regulation 6(4)(a), PECR 2003</ital>
                      ). For the exemption to apply, the transmission of the communication must be impossible without the use of the cookie.
                    </paratext>
                  </para>
                </list.item>
                <list.item>
                  <para>
                    <paratext>
                      Strictly necessary for the provision of an information society service requested by the subscriber or user (
                      <ital>regulation 6(4)(b), PECR 2003</ital>
                      ).
                    </paratext>
                  </para>
                </list.item>
              </list>
              <para>
                <paratext>
                  Although the exemption applies to both the provision of information and the gaining of consent, the ICO Cookies Guidance states that it is good practice to continue to provide clear information about all cookies including those that are strictly necessary, and if personal data is involved then website operators will be required to do this under the fairness and transparency requirements of the first data protection principle of the UK GDPR anyway (see 
                  <link anchor="a986735" href="w-016-7485" style="ACTLinkPLCtoPLC">
                    <ital>Practice notes, Cookies: UK issues GDPR transparency and how can consent to cookies be validly obtained?</ital>
                  </link>
                  <link anchor="a226829" href="w-013-3757" style="ACTLinkPLCtoPLC">
                    <ital>and Overview of UK GDPR: First data protection principle: Lawfulness, fairness and transparency</ital>
                  </link>
                  ).
                </paratext>
              </para>
              <para>
                <paratext>The UK Government’s Data Protection and Digital Information (No. 2) Bill introduced several new exemptions from the cookie consent requirement for certain uses of cookies that have a low level of privacy intrusiveness.</paratext>
              </para>
              <para>
                <paratext>These include the following:</paratext>
              </para>
              <list type="bulleted">
                <list.item>
                  <para>
                    <paratext>Processing solely for the purpose of statistical analysis of how the website is used or how the information society service is used, in particular with a view to making improvements to such website or service (Regulation 6(2A)).</paratext>
                  </para>
                </list.item>
                <list.item>
                  <para>
                    <paratext>Processing to optimise content display or reflect user preferences about the display of content, for example, adjusting content to suit the user’s screen size (Regulation 6(2B)).</paratext>
                  </para>
                </list.item>
                <list.item>
                  <para>
                    <paratext>Processing solely to update software, or where the update is necessary for security purposes, provided that the subscriber or user is informed about the purpose of the update, that the update will not alter privacy settings and that there is an ability for the subscriber or user to postpone the update before it takes effect (Regulation 6(2C)).</paratext>
                  </para>
                </list.item>
              </list>
              <para>
                <paratext>
                  If enacted, these exemptions in the new legislation will enable UK website operators to limit the scope of their cookie consent mechanisms to those uses which pose a higher risk to individuals’ privacy, for example cookies used for targeted advertising or other profiling purposes.  For further information on the carry-over mention of the Bill see 
                  <internal.reference refid="a752883">Drafting note, Data Protection and Digital Information Bill</internal.reference>
                  .
                </paratext>
              </para>
            </division>
            <division id="a813382" level="2">
              <head align="left" preservecase="true">
                <headtext>Cookies and personal data</headtext>
              </head>
              <para>
                <paratext>The use of certain types of cookies can involve the processing of personal data (for example, tracking cookies) and where that is the case, the UK GDPR and DPA 2018 become applicable.</paratext>
              </para>
              <para>
                <paratext>For further information see:</paratext>
              </para>
              <list type="bulleted">
                <list.item>
                  <para>
                    <paratext>
                      <link anchor="a197606" href="w-016-7485" style="ACTLinkPLCtoPLC">
                        <ital>Practice note, Cookies: impact of UK GDPR and DPA 2018: What is the relationship between the UK GDPR and PECR?</ital>
                      </link>
                       and 
                      <link anchor="a681347" href="w-016-7485" style="ACTLinkPLCtoPLC">
                        <ital>Is a cookie personal data?</ital>
                      </link>
                    </paratext>
                  </para>
                </list.item>
                <list.item>
                  <para>
                    <paratext>
                      <link href="w-013-3757" style="ACTLinkPLCtoPLC">
                        <ital>Overview of UK GDPR</ital>
                      </link>
                      <ital> </ital>
                      (in particular, see the requirements of the first data protection principle and the provision of information).
                    </paratext>
                  </para>
                </list.item>
                <list.item>
                  <para>
                    <paratext>
                      <link href="https://ico.org.uk/for-organisations/direct-marketing-and-privacy-and-electronic-communications/guide-to-pecr/guidance-on-the-use-of-cookies-and-similar-technologies/" style="ACTLinkURL">
                        <ital>ICO Cookies Guidance</ital>
                      </link>
                      <ital>,</ital>
                       which includes a helpful flowchart illustrating the relationship between the UK GDPR and PECR. Data Protection and Digital Information (No. 2) Bill
                    </paratext>
                  </para>
                </list.item>
                <list.item>
                  <para>
                    <paratext>
                      EDPB opinion on the interplay between the E-Privacy Directive (2002/58/EC) and the GDPR (see 
                      <link href="w-019-5919" style="ACTLinkPLCtoPLC">
                        <ital>Legal update, EDPB adopts Opinion on the interplay between the ePrivacy Directive and the GDPR</ital>
                      </link>
                      ).
                    </paratext>
                  </para>
                </list.item>
                <list.item>
                  <para>
                    <paratext>
                      <link href="https://uk.practicallaw.thomsonreuters.com/Document/I8feeb5d5448e11e89bf199c0ee06c731/View/FullText.html?navigationPath=Search%2Fv1%2Fresults%2Fnavigation%2Fi0ad604ac000001699712d30bdc66f7d9%3FNav%3DKNOWHOW_UK%26fragmentIdentifier%3DI8feeb5d5448e11e89bf199c0ee06c731%26startIndex%3D1%26contextData%3D%2528sc.Search%2529%26transitionType%3DSearchItem&amp;amp;listSource=Search&amp;amp;listPageSource=78f4dfcc972b4e11429bbcf8191d738c&amp;amp;list=KNOWHOW_UK&amp;amp;rank=1&amp;amp;sessionScopeId=c89779897d23fd4c31417bb1a566adcb11656f7bc6456b2f93e5ec12b4e050b5&amp;amp;originationContext=Search+Result&amp;amp;transitionType=SearchItem&amp;amp;contextData=%28sc.Search%29&amp;amp;navId=3936ABFE89D515DD871ED278339B2E1A&amp;amp;comp=pluk" style="ACTLinkURL">
                        <ital>Practice note, UK GDPR and DPA 2018: Profiling and automated decision-making</ital>
                      </link>
                      <ital>. </ital>
                    </paratext>
                  </para>
                </list.item>
              </list>
            </division>
            <division id="a655744" level="2">
              <head align="left" preservecase="true">
                <headtext>Children</headtext>
              </head>
              <para>
                <paratext>
                  If children are likely to access the online service, then providers must also comply with the ICO's Age Appropriate Design Code (Children's Code) (see 
                  <link href="https://ico.org.uk/for-organisations/uk-gdpr-guidance-and-resources/childrens-information/childrens-code-guidance-and-resources/" style="ACTLinkURL">
                    <ital>ICO's Children's code guidance and resources</ital>
                  </link>
                  ), which came into force on 2 September 2020. This is a statutory code of practice that applies to organisations providing online services and products likely to be accessed by children up to the age of 18. There was a 12-month transition period (up to 2 September 2021) to allow organisations to make the necessary changes to ensure that the 15 standards set out in the code are incorporated into their design processes and subsequent development and upgrade processes. Greater preparation and creativity is required when designing and drafting privacy and cookie notices for children (compared to the typical written text of an adult-facing privacy notice or policy) to take account of the age of the child and the fact that their developmental needs may change as they grow older. In order to comply with the Children’s Code when drafting a cookie policy, it is essential to know the age range of users of the website so that the design can be appropriate and privacy information can be provided which is concise, prominent and in clear language suited to the age of the child (see 
                  <link href="w-039-8568" style="ACTLinkPLCtoPLC">
                    <ital>Practice note, Drafting child-friendly privacy notices (UK)</ital>
                  </link>
                   and 
                  <link href="w-039-5753" style="ACTLinkPLCtoPLC">
                    <ital>Checklist, Drafting child-friendly privacy notices (UK)</ital>
                  </link>
                  .
                </paratext>
              </para>
              <para>
                <paratext>
                  In July 2023, the ICO published updated guidance to help organisations to assess whether children are accessing a service in reality and how to apply appropriate safeguards to protect them in a proportionate way. It is not intended to be an extension of the Children's Code to all services that children could theoretically access (see 
                  <link href="w-040-3172" style="ACTLinkPLCtoPLC">
                    <ital>Legal update, ICO updates guidance on "likely to be accessed" by children following consultation</ital>
                  </link>
                  ).
                </paratext>
              </para>
              <para>
                <paratext>
                  Also in 2023, it is anticipated that the ICO may published the results of its consultation to help evaluate the impact of the code on public and digital service providers, and gain insight into how effectively it has helped to ensure children's personal data is being processed fairly and in compliance with data protection law (see 
                  <link href="w-037-1213" style="ACTLinkPLCtoPLC">
                    <ital>Legal update, ICO consults on impact of Children's Code</ital>
                  </link>
                  ).
                </paratext>
              </para>
              <para>
                <paratext>
                  For further information see, 
                  <link anchor="a761495" href="w-013-3757" style="ACTLinkPLCtoPLC">
                    <ital>Practice notes, Overview of UK GDPR: Children and consent</ital>
                  </link>
                   and 
                  <link anchor="a704497" href="w-019-3844" style="ACTLinkPLCtoPLC">
                    <ital>Children and the law: data protection aspects (UK): Age appropriate design code for online services (Children's Code)</ital>
                  </link>
                   and the 
                  <link href="https://ico.org.uk/for-organisations/childrens-code-hub/" style="ACTLinkURL">
                    <ital>ICO Children's Code Hub: Additional resources</ital>
                  </link>
                  .
                </paratext>
              </para>
            </division>
            <division id="a224263" level="2">
              <head align="left" preservecase="true">
                <headtext>Review of E-Privacy Directive and Draft E-Privacy Regulation</headtext>
              </head>
              <para>
                <paratext>
                  On 10 January 2017, the European Commission published a draft Data Protection Regulation (draft ePR) (
                  <ital>2017/003(COD)</ital>
                  ).  When it is ultimately adopted and in force, it will replace the 
                  <link href="2-507-2632" style="ACTLinkPLCtoPLC">
                    <ital>E-Privacy Directive (2002/58/EC)</ital>
                  </link>
                  , the source of PECR 2003 and PECR 2011. The draft ePR intends to extend the scope to all electronic communications service providers, including WhatsApp, Facebook messenger, Skype, Gmail, iMessage and Viber (rather than only traditional telecoms service providers, as provided for by the E-Privacy Directive (see 
                  <link href="w-005-4368" style="ACTLinkPLCtoPLC">
                    <ital>Legal update, European Commission publishes draft E-Privacy Regulation</ital>
                  </link>
                  ).
                </paratext>
              </para>
              <para>
                <paratext>In relation to cookies, the ePR is considering:</paratext>
              </para>
              <list type="bulleted">
                <list.item>
                  <para>
                    <paratext>Defining clearer rules on cookies and tracking technologies.</paratext>
                  </para>
                </list.item>
                <list.item>
                  <para>
                    <paratext>Providing an easier way for internet users to accept or refuse cookie tracking.</paratext>
                  </para>
                </list.item>
                <list.item>
                  <para>
                    <paratext>Tightening consent requirements for websites to use cookies to access on-device information or to track user behaviour online for targeted online advertising purposes.</paratext>
                  </para>
                </list.item>
                <list.item>
                  <para>
                    <paratext>Requiring users to be able to choose varying levels of privacy through their browser settings.</paratext>
                  </para>
                </list.item>
                <list.item>
                  <para>
                    <paratext>Removing the need for consents for certain less intrusive uses of cookies.</paratext>
                  </para>
                </list.item>
              </list>
              <para>
                <paratext>
                  Due to delays in negotiations, the draft ePR was not finalised in time to align with the GDPR on 25 May 2018, and the ICO confirmed that PECR would continue to apply in the UK post-Brexit (see 
                  <link href="w-013-9892" style="ACTLinkPLCtoPLC">
                    <ital>Legal update, Government confirms delay to draft E-Privacy Regulation</ital>
                  </link>
                   and 
                  <link href="w-022-1647" style="ACTLinkPLCtoPLC">
                    <ital>Legal update, EU Council Presidency discussion note on proposed E-Privacy Regulation</ital>
                  </link>
                  .  The draft ePR continues to be subject to long delays during the legislative process where it has proven very difficult during 
                  <link href="5-503-0424" style="ACTLinkPLCtoPLC">
                    <ital>informal trialogue</ital>
                  </link>
                   negotiations for the European Council and European Parliament to reach acceptable compromises on certain key aspects of the text, including regarding the use of cookies (see 
                  <link href="https://nam02.safelinks.protection.outlook.com/?url=http%3A%2F%2Fin-houseblog.practicallaw.com%2Feprivacy-regulation-path-cleared-for-talks-with-the-european-parliament%2F&amp;amp;data=04%7C01%7CHelen.Padley%40thomsonreuters.com%7Ce7a189ba58744c2ac59d08d8ddb8c531%7C62ccb8646a1a4b5d8e1c397dec1a8258%7C0%7C0%7C637503132929907317%7CUnknown%7CTWFpbGZsb3d8eyJWIjoiMC4wLjAwMDAiLCJQIjoiV2luMzIiLCJBTiI6Ik1haWwiLCJXVCI6Mn0%3D%7C1000&amp;amp;sdata=z7Z%2BWPBuqo25wGWs23jaLMriwCMSez8jCrk0odDD23I%3D&amp;amp;reserved=0" style="ACTLinkURL">
                    <ital>In-house blog, ePrivacy Regulation: path cleared for talks with the European Parliament</ital>
                  </link>
                  ).
                </paratext>
              </para>
              <para>
                <paratext>
                  In November 2023, the EDPB published draft 
                  <link href="https://edpb.europa.eu/our-work-tools/documents/public-consultations/2023/guidelines-22023-technical-scope-art-53-eprivacy_en" style="ACTLinkURL">
                    <ital>Guidelines 2/2023 on Technical Scope of Art. 5(3) of ePrivacy Directive</ital>
                  </link>
                   for consultation. The guidelines examine and clarify the scope of application of Article 5(3) of the E-Privacy Directive to emerging tracking tools. They confirm that the storing of information, or the gaining of access to information already stored in the terminal equipment of a subscriber or user is only allowed on the basis of consent or necessity for specific purposes. According to the guidelines, there are four key elements required to be present for Article 5(3) to apply (the operations concerned must involve "information", "terminal equipment of a subscriber or user", "electronic communications network", and "gaining access" and "stored information/storage") and these are examined in detail by the EDPB (see 
                  <internal.reference refid="a416699">Drafting note, Status of EDPB guidelines</internal.reference>
                  ).  See 
                  <link href="w-041-4163" style="ACTLinkPLCtoPLC">
                    <ital>Legal update, EDPB opens consultation on Guidelines 2/2023 on Technical Scope of Art. 5(3) of ePrivacy Directive</ital>
                  </link>
                  .
                </paratext>
              </para>
            </division>
            <division id="a310393" level="2">
              <head align="left" preservecase="true">
                <headtext>End of the UK-EU transition period and the draft e-Privacy Regulation</headtext>
              </head>
              <para>
                <paratext>The draft ePR was not finalised before the end of the UK-EU transition period.  Once finalised, it will not become directly applicable in the UK and will not therefore bind those UK businesses that are only subject to UK data protection law in the form of PECR, the UK GDPR and the DPA 2018. Nevertheless, the UK government will still need to consider to what extent to mirror the new rules in the ePR when they eventually do come into force in the EU.  It is worth bearing in mind that the ePR will likely still be relevant to many UK organisations due to its territorial scope as the draft ePR proposes that it should apply regardless of whether the processing of electronic communications data or EU users' personal data takes place in the EU, or whether the service provider or person processing such data is established or located in the EU. This means that organisations will need to monitor the scope of their cookie obligations and how they may need to adapt their compliance approach, particularly in the areas of compliant consent, profiling and third-party cookies.</paratext>
              </para>
              <para>
                <paratext>
                  It will be important to be aware of any divergences from the UK data protection regime, and this is an area to keep under watch. To keep track of progress, see 
                  <link href="w-007-8182" style="ACTLinkPLCtoPLC">
                    <ital>Digital Single Market Strategy: Regulation on Privacy and Electronic Communications (ePrivacy Regulation): legislation tracker</ital>
                  </link>
                  .
                </paratext>
              </para>
            </division>
            <division id="a752883" level="2">
              <head align="left" preservecase="true">
                <headtext>Data Protection and Digital Information Bill</headtext>
              </head>
              <para>
                <paratext>
                  On 10 September 2021, the Department for Digital, Culture, Media and Sport (DCMS) launched a consultation, "Data: A new direction" and the proposals include relaxing cookie consent requirements, with one option being to remove the need for consent for analytics cookies (they would be treated in the same way as "strictly necessary" cookies). Another proposal would see organisations permitted to place cookies without consent for other limited purposes, effectively creating a list of exempt cookies. Neither option would remove the requirement for organisations to provide clear and comprehensive information. Third-party or privacy-intrusive cookies would remain subject to a consent and information requirement. The Taskforce on Innovation, Growth and Regulatory Reform has suggested that data fiduciaries or other trusted third parties could play a role in managing individual's consent without the use of cookie pop-up notices (see 
                  <link anchor="co_anchor_a530247" href="https://uk.practicallaw.thomsonreuters.com/w-032-7584?originationContext=document&amp;amp;transitionType=DocumentItem&amp;amp;contextData=(sc.Default)&amp;amp;ppcid=c8137bc165274620828cf2bcb66995e1" style="ACTLinkURL">
                    <ital>Article, Data protection reform: setting the course for a new direction: Cookies</ital>
                  </link>
                  ).
                </paratext>
              </para>
              <para>
                <paratext>The consultation contained no proposed legislative amendments in relation to Article 22 of the UK GDPR (automated decision-making and profiling). But it did seek views on repealing restrictions on profiling and automated decision-making, including the right to human intervention, and reducing the restrictions on collateral use of personal data. Any changes in relation to profiling may impact on the use of personal data collected by cookies.</paratext>
              </para>
              <para>
                <paratext>
                  On 17 June 2022, the DCMS published the 
                  <link href="https://www.gov.uk/government/consultations/data-a-new-direction/outcome/data-a-new-direction-government-response-to-consultation" style="ACTLinkURL">
                    <ital>outcome</ital>
                  </link>
                   of its consultation and the Annex lists which proposals will and will not be taken forward and which are being considered further and this includes proposals in relation to cookies and Article 22 (see pages 59-67) (see 
                  <link href="w-035-9547" style="ACTLinkPLCtoPLC">
                    <ital>Legal update, DCMS publishes outcome of consultation "Data: a new direction"</ital>
                  </link>
                  ). Among other things, the government plans to remove the requirement for prior consent for all types of cookies but only when automated technology is widely available to help users manage their online preferences. It also plans to remove the consent requirement for analytics cookies and similar technologies and treat them in a similar way as "strictly necessary" cookies. It plans to clarify the limits and scope of Article 22 of the UK GDPR. It also plans to increase the ICO's enforcement powers for breach of PECR and draw fines inline with those that can be levied under the UK GDPR. For further information see 
                  <link href="https://uk.practicallaw.thomsonreuters.com/Document/I7fa1e80d41f611ec9f24ec7b211d8087/View/FullText.html?navigationPath=Search%2Fv1%2Fresults%2Fnavigation%2Fi0ad7403700000185a6c904ad0f105bf4%3Fppcid%3Da09aadad9cb04953bb532e5b7382a44b%26Nav%3DKNOWHOW_UK%26fragmentIdentifier%3DI7fa1e80d41f611ec9f24ec7b211d8087%26parentRank%3D0%26startIndex%3D1%26contextData%3D%2528sc.Search%2529%26transitionType%3DSearchItem&amp;amp;listSource=Search&amp;amp;listPageSource=eea3c419ab8512b2890baa9fe459ab63&amp;amp;list=KNOWHOW_UK&amp;amp;rank=1&amp;amp;sessionScopeId=e50ae8c0c836307e649357f3a12b20811c69bc5a38c110df0dc916938d2de306&amp;amp;ppcid=a09aadad9cb04953bb532e5b7382a44b&amp;amp;originationContext=Search%20Result&amp;amp;transitionType=SearchItem&amp;amp;contextData=(sc.Search)&amp;amp;comp=pluk" style="ACTLinkURL">
                    <ital>Article, DCMS data protection reforms: summary of consultation proposals and outcome</ital>
                  </link>
                  .
                </paratext>
              </para>
              <para>
                <paratext>
                  The Data Protection and Digital Reform Bill (announced in the Queen's Speech on 10 May 2022) drew upon the DCMS' proposals and analysis of the results of its consultation. For further information see 
                  <link href="https://uk.practicallaw.thomsonreuters.com/w-037-0061?originationContext=document&amp;amp;transitionType=DocumentItem&amp;amp;contextData=(sc.Default)&amp;amp;ppcid=ed1eb59382a24a30add10b766c7b558a" style="ACTLinkURL">
                    <ital>Practice note, Data Protection and Digital Information Bill: key data protection provisions</ital>
                  </link>
                   (see 
                  <link anchor="co_anchor_a337661" href="https://uk.practicallaw.thomsonreuters.com/w-037-0061?originationContext=document&amp;amp;transitionType=DocumentItem&amp;amp;contextData=(sc.Default)&amp;amp;ppcid=ed1eb59382a24a30add10b766c7b558a" style="ACTLinkURL">
                    <ital>Privacy and electronic communications (clauses 78-86 and Schedule 10)</ital>
                  </link>
                   and 
                  <link anchor="co_anchor_a612896" href="https://uk.practicallaw.thomsonreuters.com/w-037-0061?originationContext=document&amp;amp;transitionType=DocumentItem&amp;amp;contextData=(sc.Default)&amp;amp;ppcid=ed1eb59382a24a30add10b766c7b558a" style="ACTLinkURL">
                    <ital>Automated decision-making (clause 11 and Schedule 3)</ital>
                  </link>
                  <ital>.</ital>
                   However, after its first reading in Parliament the Bill was paused for updates and re-introduced into Parliament on 8 March 2023 as the Data Protection and Digital Information (No. 2) Bill. After a considerable delay it was announced in the King's Speech of 7 November 2023 that the Bill would be subject to a carry-over motion to the 2023-2024 parliamentary session and renamed to just the Data Protection and Digital Information Bill (DPDI Bill) (see 
                  <link href="w-041-3101" style="ACTLinkPLCtoPLC">
                    <ital>Legal update, King's Speech 2023: data protection implications</ital>
                  </link>
                  ).
                </paratext>
              </para>
              <para>
                <paratext>
                  Among other things, the DPDI Bill proposes increasing the maximum level of fines that the ICO can impose for breaches of PECR (including relating to the use of cookies) from the current limit of £500,000 to the far higher limits established for breaches of the UK GDPR of £17.5 million or 4% of global annual turnover. As discussed above, this Bill introduces several new exemptions from the cookie consent requirement for certain low risk uses of cookies, for example website data analytics (see 
                  <internal.reference refid="a949593">Drafting note, Limited exemptions</internal.reference>
                  ).
                </paratext>
              </para>
              <para>
                <paratext>
                  For further information see 
                  <link href="https://uk.practicallaw.thomsonreuters.com/w-038-9581?originationContext=document&amp;amp;transitionType=DocumentItem&amp;amp;contextData=(sc.Default)&amp;amp;ppcid=e1726e01a98843a492d4b7741d19f7aa" style="ACTLinkURL">
                    <ital>Article, New Data Protection and Digital Information Bill: what's changing?</ital>
                  </link>
                   and 
                  <link href="w-037-0061" style="ACTLinkPLCtoPLC">
                    <ital>Data Protection and Digital Information Bill: key data protection provisions</ital>
                  </link>
                  . To follow its progress see 
                  <link href="w-010-6097" style="ACTLinkPLCtoPLC">
                    <ital>UK data protection legislation tracker</ital>
                  </link>
                  .
                </paratext>
              </para>
            </division>
            <division id="a372998" level="2">
              <head align="left" preservecase="true">
                <headtext>Further information</headtext>
              </head>
              <list type="bulleted">
                <list.item>
                  <para>
                    <paratext>
                      <link href="w-016-7485" style="ACTLinkPLCtoPLC">
                        <ital>Practice note, Cookies: UK issues and the impact of UK GDPR and DPA 2018</ital>
                      </link>
                      .
                    </paratext>
                  </para>
                </list.item>
                <list.item>
                  <para>
                    <paratext>
                      <link href="https://ico.org.uk/for-organisations/direct-marketing-and-privacy-and-electronic-communications/guide-to-pecr/guidance-on-the-use-of-cookies-and-similar-technologies/" style="ACTLinkURL">
                        <ital>ICO: Guidance on the use of cookies and similar technologies</ital>
                      </link>
                       (ICO Cookie Guidance) which includes a helpful flowchart on page 21 which explains the distinction between PECR and the UK GDPR in relation to the use of cookies and guidance on the complex area of third party content.
                    </paratext>
                  </para>
                </list.item>
                <list.item>
                  <para>
                    <paratext>
                      EDPB guidelines (
                      <ital>5/2020</ital>
                      ) on consent under Regulation 2016/679 (
                      <link href="https://edpb.europa.eu/our-work-tools/our-documents/guidelines/guidelines-052020-consent-under-regulation-2016679_en" style="ACTLinkURL">
                        <ital>EDPB Consent Guidelines</ital>
                      </link>
                      ) (see 
                      <link href="w-025-4791" style="ACTLinkPLCtoPLC">
                        <ital>Legal update, EDBP updates guidelines on consent</ital>
                      </link>
                      ).  See 
                      <link anchor="a934971" href="w-013-3757" style="ACTLinkPLCtoPLC">
                        <ital>Practice note, Overview of UK GDPR: Status of EDPB guidelines</ital>
                      </link>
                      .
                    </paratext>
                  </para>
                </list.item>
                <list.item>
                  <para>
                    <paratext>
                      ICO guidance on consent (first published May 2018) (see 
                      <link href="https://uk.practicallaw.thomsonreuters.com/w-014-6938?originationContext=document&amp;amp;transitionType=DocumentItem&amp;amp;contextData=(sc.Default)" style="ACTLinkURL">
                        <ital>Legal update, ICO publishes final version of consent guidance</ital>
                      </link>
                      ) (
                      <link href="https://ico.org.uk/for-organisations/guide-to-the-general-data-protection-regulation-gdpr/consent/" style="ACTLinkURL">
                        <ital>ICO Consent Guidance</ital>
                      </link>
                      ).
                    </paratext>
                  </para>
                </list.item>
                <list.item>
                  <para>
                    <paratext>
                      <link href="w-022-0128" style="ACTLinkPLCtoPLC">
                        <ital>Video, Use of cookies and similar technologies: updated ICO guidance</ital>
                      </link>
                      .(please note this was recorded before the end of the UK-EU transition period).
                    </paratext>
                  </para>
                </list.item>
                <list.item>
                  <para>
                    <paratext>
                      <link href="https://ico.org.uk/for-organisations/guide-to-pecr" style="ACTLinkURL">
                        <ital>ICO: Guide to the Privacy and Electronic Communications Regulations</ital>
                      </link>
                       (ICO: Guide to PECR) (see the section on Cookies and similar technologies).
                    </paratext>
                  </para>
                </list.item>
              </list>
            </division>
          </division>
        </drafting.note>
        <operative xrefname="paragraph">
          <head align="left" preservecase="true">
            <headtext/>
          </head>
          <clause id="a674694" numbering="none">
            <para>
              <paratext>Our website uses cookies to distinguish you from other users of our website. This helps us to provide you with a good experience when you browse our website and also allows us to improve our site.</paratext>
            </para>
            <drafting.note id="a976453" jurisdiction="">
              <head align="left" preservecase="true">
                <headtext>Consent to receive cookies</headtext>
              </head>
              <division id="a000014" level="1">
                <para>
                  <paratext>
                    Under PECR,
                    <ital> </ital>
                    website operators must obtain the users' consent to the use of cookies (
                    <link href="https://uk.practicallaw.thomsonreuters.com/5-508-3605?originationContext=document&amp;amp;transitionType=PLDocumentLink&amp;amp;contextData=(sc.Default)" style="ACTLinkURL">
                      <ital>regulation 6(2)(b)</ital>
                    </link>
                    <ital>, PECR 2003, as revised by PECR 2011 and PECR 2019</ital>
                    ), unless an exemption applies (see 
                    <internal.reference refid="a949593">Drafting note, Limited exemptions</internal.reference>
                    ). This must be to the standard of consent applied by the UK GDPR, which is high, and is defined as any: "freely given, specific, informed and unambiguous indication of the data subject's wishes by which he or she, by a statement or by a clear affirmative action, signifies agreement to the processing of personal data relating to him or her" (
                    <ital>Articles 4(11) UK GDPR</ital>
                    ).  Article 7 of the UK GDPR specifies the conditions for consent, for example, it must be demonstrable (see 
                    <link href="w-022-9568" style="ACTLinkPLCtoPLC">
                      <ital>Checklist, UK GDPR and DPA 2018: Consent</ital>
                    </link>
                    .
                  </paratext>
                </para>
                <para>
                  <paratext>
                    PECR does not include any detailed provisions on how user consent should be obtained. However, the ICO Cookie Guidance, ICO Consent Guidance and the 
                    <link href="https://ico.org.uk/for-organisations/direct-marketing-and-privacy-and-electronic-communications/guide-to-pecr/" style="ACTLinkURL">
                      <ital>ICO: Guide to PECR</ital>
                    </link>
                     provide guidance on the practical steps website operators can take to comply with their obligations, which includes the provision of information.
                  </paratext>
                </para>
                <para>
                  <paratext>With regard to the provision of privacy information, the ICO’s Cookie Guidance says the following:</paratext>
                </para>
                <display.quote>
                  <para>
                    <paratext>"You need to provide information about cookies in such a way that the user will see it when they first visit your service. This is usually done within the cookie consent mechanism itself. You should also provide more detailed information about cookies in a privacy or cookie policy accessed through a link within the consent mechanism and at the top or bottom of your website."</paratext>
                  </para>
                </display.quote>
                <para>
                  <paratext>
                    The EDPB Guidelines (5/2020) on consent under Regulation 2016/679 (
                    <link href="https://edpb.europa.eu/our-work-tools/our-documents/guidelines/guidelines-052020-consent-under-regulation-2016679_en" style="ACTLinkURL">
                      <ital>EDPB Consent Guidelines</ital>
                    </link>
                    ) are also helpful in that they provide some practical examples of what does and does not constitute consent to the use and storage of cookies. For example, "scrolling or swiping through a webpage or similar user activity will not under any circumstances satisfy the requirement of a clear and affirmative action" necessary for valid consent. The EDPB notes that such actions are difficult to distinguish from other interactions on a website by a user, and it is impossible to determine that a user's unambiguous consent has been obtained (see the section, 
                    <ital>Unambiguous indication of wishes</ital>
                     at example 16 (paragraph 86)).  The EDPB's guidelines also clarify that:
                  </paratext>
                </para>
                <display.quote>
                  <para>
                    <paratext>"... for consent to be freely given, access to services and functionalities must not be made conditional on the consent of a user to the storing of information, or gaining of access to information already stored, in the terminal equipment of a user (so-called cookie walls)." (see paragraph 39).</paratext>
                  </para>
                </display.quote>
                <para>
                  <paratext>
                    Consent given via a cookie wall is not valid, as the individual is not presented with a genuine choice, so consent is not freely given (see example at 6a (paragraph 40)).  The EDPB has provided a new practical example at 6a (paragraph 40). However, the ICO Cookie Guidance provides further analysis of cookie walls (see 
                    <link anchor="comply12" href="_blank" style="ACTLinkPLCtoPLC">
                      <ital>Can we use 'cookie walls?'</ital>
                    </link>
                    )
                  </paratext>
                </para>
                <para>
                  <paratext>
                    The EDPB guidelines are consistent with the decision in Planet49 and ICO Cookie guidance (see 
                    <link href="https://uk.practicallaw.thomsonreuters.com/w-025-4791?originationContext=document&amp;amp;transitionType=DocumentItem&amp;amp;contextData=(sc.Default)" style="ACTLinkURL">
                      <ital>Legal update, EDPB updates guidelines on consent</ital>
                    </link>
                    ).
                  </paratext>
                </para>
                <para>
                  <paratext>For further information see:</paratext>
                </para>
                <list type="bulleted">
                  <list.item>
                    <para>
                      <paratext>
                        <link anchor="a566706" href="w-016-7485" style="ACTLinkPLCtoPLC">
                          <ital>Practice note, Cookies: impact of UK GDPR and DPA 2018: Consent requirements</ital>
                        </link>
                         and 
                        <link anchor="a364411" href="w-016-7485" style="ACTLinkPLCtoPLC">
                          <ital>Information requirements</ital>
                        </link>
                         and 
                        <link anchor="a986735" href="w-016-7485" style="ACTLinkPLCtoPLC">
                          <ital>UK GDPR and transparency and how can consent to cookies be validly obtained?</ital>
                        </link>
                      </paratext>
                    </para>
                  </list.item>
                  <list.item>
                    <para>
                      <paratext>
                        <link href="http://in-houseblog.practicallaw.com/cookie-consent-what-good-compliance-looks-like-according-to-the-ico/" style="ACTLinkURL">
                          <ital>Blog, Cookie consent: what "good" compliance looks like according to the ICO</ital>
                        </link>
                        <ital>.</ital>
                      </paratext>
                    </para>
                  </list.item>
                </list>
                <division id="a440332" level="2">
                  <head align="left" preservecase="true">
                    <headtext>Third parties and profiling</headtext>
                  </head>
                  <para>
                    <paratext>
                      Cookies are now increasingly used to collect information about the user which allows the website operator or a third party (for example, an advertising network provider) to create a profile of the user, their preferences and their interests for the purpose of serving the user with targeted, interest-based advertising. Where third parties access and use cookies, the third parties should be specifically named (see 
                      <internal.reference refid="a651853">Drafting note, Third party cookies (optional clause)</internal.reference>
                      ).
                    </paratext>
                  </para>
                  <para>
                    <paratext>
                      Once profiling takes place, the UK GDPR and DPA 2018 become applicable and must be complied with (see 
                      <link anchor="a392547" href="w-016-7485" style="ACTLinkPLCtoPLC">
                        <ital>Practice notes, Cookies: impact of UK GDPR and DPA 2018, Working with third party advertising providers</ital>
                      </link>
                       and 
                      <link href="https://uk.practicallaw.thomsonreuters.com/Document/I8feeb5d5448e11e89bf199c0ee06c731/View/FullText.html?navigationPath=Search%2Fv1%2Fresults%2Fnavigation%2Fi0ad604ac000001699712d30bdc66f7d9%3FNav%3DKNOWHOW_UK%26fragmentIdentifier%3DI8feeb5d5448e11e89bf199c0ee06c731%26startIndex%3D1%26contextData%3D%2528sc.Search%2529%26transitionType%3DSearchItem&amp;amp;listSource=Search&amp;amp;listPageSource=78f4dfcc972b4e11429bbcf8191d738c&amp;amp;list=KNOWHOW_UK&amp;amp;rank=1&amp;amp;sessionScopeId=c89779897d23fd4c31417bb1a566adcb11656f7bc6456b2f93e5ec12b4e050b5&amp;amp;originationContext=Search+Result&amp;amp;transitionType=SearchItem&amp;amp;contextData=%28sc.Search%29&amp;amp;navId=3936ABFE89D515DD871ED278339B2E1A&amp;amp;comp=pluk" style="ACTLinkURL">
                        <ital>UK GDPR and DPA 2018: Profiling and automated decision-making</ital>
                      </link>
                      <ital> </ital>
                      and
                      <ital> </ital>
                      <link anchor="co_anchor_a321955" href="https://uk.practicallaw.thomsonreuters.com/Document/I968a9c521afe11e89bf099c0ee06c731/View/FullText.html?navigationPath=Search%2Fv1%2Fresults%2Fnavigation%2Fi0ad604ac00000169972617ccdc670b2e%3FNav%3DKNOWHOW_UK%26fragmentIdentifier%3DI968a9c521afe11e89bf099c0ee06c731%26startIndex%3D1%26contextData%3D%2528sc.Search%2529%26transitionType%3DSearchItem&amp;amp;listSource=Search&amp;amp;listPageSource=bb9ff2260f459214a53aad6cc4b19a6b&amp;amp;list=KNOWHOW_UK&amp;amp;rank=1&amp;amp;sessionScopeId=c89779897d23fd4c31417bb1a566adcb11656f7bc6456b2f93e5ec12b4e050b5&amp;amp;originationContext=Search+Result&amp;amp;transitionType=SearchItem&amp;amp;contextData=%28sc.Search%29&amp;amp;navId=8B4C85AE159A174A7CC18835D684EA23&amp;amp;comp=pluk" style="ACTLinkURL">
                        <ital>Overview of UK GDPR: Direct marketing and draft E-Privacy Regulation</ital>
                      </link>
                      ).
                    </paratext>
                  </para>
                </division>
              </division>
            </drafting.note>
          </clause>
          <clause id="a766330" numbering="none">
            <para>
              <paratext>A cookie is a small file of letters and numbers that we store on your browser or the hard drive of your computer if you agree. Cookies contain information that is transferred to your computer's hard drive.</paratext>
            </para>
          </clause>
          <clause id="a762197" numbering="none">
            <para>
              <paratext>We use the following cookies:</paratext>
            </para>
            <list type="bulleted">
              <list.item>
                <para>
                  <paratext>
                    <bold>Strictly necessary cookies.</bold>
                     These are cookies that are required for the operation of our website. These essential cookies are always enabled because our website won’t work properly without them. They include, for example, cookies that enable you to log into secure areas of our website, use a shopping cart or make use of e-billing services. You can switch off these cookies in your browser settings but you may then not be able to access all or parts of our website.
                  </paratext>
                </para>
              </list.item>
              <list.item>
                <para>
                  <paratext>
                    <bold>Analytical or performance cookies.</bold>
                     These allow us to recognise and count the number of visitors and to see how visitors move around our website when they are using it. This helps us to improve the way our website works, for example, by ensuring that users are finding what they are looking for easily.
                  </paratext>
                </para>
              </list.item>
              <list.item>
                <para>
                  <paratext>
                    <bold>Functionality cookies.</bold>
                     These are used to recognise you when you return to our website. This enables us to personalise our content for you, greet you by name and remember your preferences (for example, your choice of language or region).
                  </paratext>
                </para>
              </list.item>
              <list.item>
                <para>
                  <paratext>
                    <bold>Targeting cookies.</bold>
                     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 so that they can serve you with relevant advertising on their websites.]
                  </paratext>
                </para>
              </list.item>
            </list>
            <drafting.note id="a594574" jurisdiction="">
              <head align="left" preservecase="true">
                <headtext>Types of cookies used</headtext>
              </head>
              <division id="a000015" level="1">
                <para>
                  <paratext>
                    The description and examples of cookies given above of each of the four different categories of cookies should be amended to reflect the reality of which cookies are used in practice.  For further information see 
                    <link anchor="a606829" href="w-016-7485" style="ACTLinkPLCtoPLC">
                      <ital>Practice note, Cookies: impact of UK GDPR and DPA 2018: Categories of cookies</ital>
                    </link>
                    .
                  </paratext>
                </para>
              </division>
            </drafting.note>
          </clause>
          <clause id="a359900" numbering="none">
            <para>
              <paratext>You can find more information about the individual cookies we use and the purposes for which we use them in the table below:</paratext>
            </para>
            <para>
              <paratext>
                <table frame="all" pgwide="1">
                  <tgroup cols="3">
                    <colspec colname="1" colnum="1" colwidth="18"/>
                    <colspec colname="2" colnum="2" colwidth="56"/>
                    <colspec colname="3" colnum="3" colwidth="24"/>
                    <tbody>
                      <row>
                        <entry valign="top">
                          <para align="left">
                            <paratext>
                              <bold>Cookie Title</bold>
                            </paratext>
                          </para>
                          <para align="left">
                            <paratext>
                              <bold>Cookie Name</bold>
                            </paratext>
                          </para>
                        </entry>
                        <entry valign="top">
                          <para align="left">
                            <paratext>
                              <bold>Purpose </bold>
                            </paratext>
                          </para>
                        </entry>
                        <entry valign="top">
                          <para align="left">
                            <paratext>
                              <bold>More information</bold>
                            </paratext>
                          </para>
                        </entry>
                      </row>
                      <row>
                        <entry valign="top">
                          <para align="left">
                            <paratext>[COOKIE TITLE]</paratext>
                          </para>
                          <para align="left">
                            <paratext>[COOKIE NAME]</paratext>
                          </para>
                        </entry>
                        <entry valign="top">
                          <para align="left">
                            <paratext>[DESCRIPTION OF THE PURPOSE FOR WHICH THE COOKIE IS USED AND ITS DURATION]</paratext>
                          </para>
                          <para align="left">
                            <paratext>Examples of purposes for which a cookie may be used:</paratext>
                          </para>
                          <para align="left">
                            <paratext>
                              This cookie [is essential for our site to 
                              <bold>OR</bold>
                               enables us to]:
                            </paratext>
                          </para>
                          <para align="left">
                            <paratext>[(a) Estimate our audience size and understand how our website it used.]</paratext>
                          </para>
                          <para align="left">
                            <paratext>[(b) Store information about your browsing preferences, and so allow us to customise our site and to provide you with offers that are targeted to your individual interests.]</paratext>
                          </para>
                          <para align="left">
                            <paratext>[(c) Speed up your searches.]</paratext>
                          </para>
                          <para align="left">
                            <paratext>[(d) Recognise you when you return to our site.]</paratext>
                          </para>
                          <para align="left">
                            <paratext>[(e) Allow you to use our site in a way that makes your browsing experience more convenient, for example, by allowing you to store items in an electronic shopping basket between visits. If you register with us or complete our online forms, we will use cookies to remember your details during your current visit, and any future visits provided the cookie was not deleted in the interim.]</paratext>
                          </para>
                          <para align="left">
                            <paratext>[(f) [OTHER PURPOSES].]</paratext>
                          </para>
                        </entry>
                        <entry valign="top">
                          <para align="left">
                            <paratext>[LINK TO EXTERNAL INFORMATION WHERE APPROPRIATE]</paratext>
                          </para>
                        </entry>
                      </row>
                    </tbody>
                  </tgroup>
                </table>
              </paratext>
            </para>
            <drafting.note id="a256842" jurisdiction="">
              <head align="left" preservecase="true">
                <headtext>Cookie table</headtext>
              </head>
              <division id="a000016" level="1">
                <para>
                  <paratext>It can be more user friendly to present the title and name of the cookie in a table.  An example of a cookie title is "Strictly necessary cookies" and examples of cookie names are ASP.NET_SessionId or OptanonConsent.</paratext>
                </para>
                <para>
                  <paratext>This table should be tailored to reflect the specific types of cookies used by the organisation and the purposes for which they are used.</paratext>
                </para>
              </division>
            </drafting.note>
          </clause>
          <clause id="a487806" numbering="none">
            <para>
              <paratext>[Please note that the following third parties may also use cookies, over which we have no control. These named third parties may include, for example, advertising networks and providers of external services like web traffic analysis services. These third party cookies are likely to be analytical cookies or performance cookies or targeting cookies:</paratext>
            </para>
            <para>
              <paratext>[NAME THIRD PARTIES]</paratext>
            </para>
            <para>
              <paratext>To deactivate the use of third party advertising cookies, you may visit the relevant consumer page to manage the use of these types of cookies [include link to consent management solution]].</paratext>
            </para>
            <para>
              <paratext>[To opt out of being tracked by Google Analytics across all websites, visit http://tools.google.com/dlpage/gaoptout.]</paratext>
            </para>
            <para>
              <paratext>
                <bold>OR</bold>
              </paratext>
            </para>
            <para>
              <paratext>[We do not share the information collected by the cookies with any third parties.]</paratext>
            </para>
            <drafting.note id="a651853" jurisdiction="">
              <head align="left" preservecase="true">
                <headtext>Third party cookies (optional clause)</headtext>
              </head>
              <division id="a000017" level="1">
                <para>
                  <paratext>Since they do not have a direct relationship with the user, third parties (for example, advertising network providers) that want to place cookies on users' equipment through a website that they do not operate themselves will find it difficult to provide users with the necessary information and to obtain valid consent. The ICO Cookies guidance therefore raises the possibility that third parties may wish to consider including a contractual obligation into their agreements with website operators that imposes an obligation on those website operators to satisfy themselves that appropriate steps will be taken to provide information about the third party cookies and obtain consent to the setting of third party cookies.</paratext>
                </para>
                <para>
                  <paratext>Given that they have no control over the cookies set by these third party advertisers, website operators should ideally reject such an obligation. Instead, they should:</paratext>
                </para>
                <list type="bulleted">
                  <list.item>
                    <para>
                      <paratext>Specifically name the third parties concerned.</paratext>
                    </para>
                  </list.item>
                  <list.item>
                    <para>
                      <paratext>Make the user aware that those third parties may be given access to the website for the purpose of setting cookies.</paratext>
                    </para>
                  </list.item>
                  <list.item>
                    <para>
                      <paratext>Disclaim and not accept any liability for the third party's compliance with its legal obligations.</paratext>
                    </para>
                  </list.item>
                </list>
                <para>
                  <paratext>
                    The ECJ's ruling in Planet49 held that Article 5(3) of the E-Privacy Directive "must be interpreted as meaning that the information that the service provider must give to a website user
                    <ital> </ital>
                    includes the duration of the operation of cookies and whether or not third parties may have access to those cookies" (see 
                    <link href="w-022-2794" style="ACTLinkPLCtoPLC">
                      <ital>Legal update, Preliminary ruling that cookie consent must be active and specific (ECJ)</ital>
                    </link>
                     and 
                    <link href="http://in-houseblog.practicallaw.com/crunch-time-for-cookies/" style="ACTLinkURL">
                      <ital>Blog, Crunch time for cookies?</ital>
                    </link>
                    ). Post-transition period this ECJ ruling forms part of retained EU case law in the UK.
                  </paratext>
                </para>
                <para>
                  <paratext>This is one of the most challenging areas in which to achieve compliance with PECR and both the provider and the third party should work together.</paratext>
                </para>
                <para>
                  <paratext>
                    It is worth noting that real time bidding and the adtech industry have been under investigation by the ICO, other European regulators and privacy campaigners. For more information see 
                    <link anchor="a392547" href="w-016-7485" style="ACTLinkPLCtoPLC">
                      <ital>Practice note, Cookies: impact of UK GDPR and DPA 2018: Working with third-party advertising providers</ital>
                    </link>
                     and for information on see on the ICO's draft Regulatory Action Policy (which includes,
                    <ital> </ital>
                    <link href="_blank" style="ACTLinkPLCtoPLC">
                      <ital>draft statutory guidance on its PECR powers</ital>
                    </link>
                    ) see 
                    <link anchor="a129542" href="w-016-7485" style="ACTLinkPLCtoPLC">
                      <ital>ICO enforcement strategy</ital>
                    </link>
                    .
                  </paratext>
                </para>
              </division>
            </drafting.note>
          </clause>
          <clause id="a883989" numbering="none">
            <para>
              <paratext>You can choose which analytical, functionality and targeting cookies we can set by clicking on the button(s):</paratext>
            </para>
          </clause>
          <clause id="a734381" numbering="none">
            <para>
              <paratext>
                Strictly necessary cookies    
                <bold>ALWAYS ACTIVE</bold>
              </paratext>
            </para>
            <drafting.note id="a949126" jurisdiction="">
              <head align="left" preservecase="true">
                <headtext>Strictly necessary cookies</headtext>
              </head>
              <division id="a000018" level="1">
                <para>
                  <paratext>
                    It is usually preferable to not allow users to switch off essential cookies given that it is not a legal requirement to offer such a choice to individuals over these cookies, given that they are exempt from the prior consent requirement in PECR. Well-drafted cookie control mechanisms typically explain that 'strictly necessary' or 'essential' cookies are always switched on because the website will not be able to function properly without them. See 
                    <internal.reference refid="a594574">Drafting note, Types of cookies used</internal.reference>
                    .
                  </paratext>
                </para>
              </division>
            </drafting.note>
          </clause>
          <clause id="a150350" numbering="none">
            <para>
              <paratext>
                Analytical or performance cookies    
                <bold>OFF</bold>
              </paratext>
            </para>
          </clause>
          <clause id="a579688" numbering="none">
            <para>
              <paratext>
                Functionality cookies    
                <bold>OFF</bold>
              </paratext>
            </para>
          </clause>
          <clause id="a675772" numbering="none">
            <para>
              <paratext>
                Targeting cookies    
                <bold>OFF</bold>
              </paratext>
            </para>
          </clause>
          <clause id="a787195" numbering="none">
            <para>
              <paratext>You can also choose to "Reject All" cookies in the cookie banner.</paratext>
            </para>
          </clause>
          <clause id="a806118" numbering="none">
            <para>
              <paratext>However, if you use your browser settings to block all cookies (including essential cookies) you may not be able to access all or parts of our website.</paratext>
            </para>
            <drafting.note id="a904451" jurisdiction="">
              <head align="left" preservecase="true">
                <headtext>Accepting or rejecting cookies</headtext>
              </head>
              <division id="a000019" level="1">
                <para>
                  <paratext>Users can opt-out of the use of each category of cookie by changing the settings on their browser.  But this is not the typical way in which most users can choose which cookies to block, given that many people do not typically visit their browser settings. Website operators therefore typically comply with the cookie consent requirements in PECR by providing "Cookie settings" buttons allowing users to accept (or reject) each cookie category and from a regulatory perspective the ICO would expect organisations to provide individuals with granular choices as to whether or not to accept each type of non-essential cookie. The ICO's Cookie guidance states the important things for non-essential cookies as (i) they must not be put on the landing page; (ii) consent must be shown by a clear and positive action; (iii) pre-ticked boxes may not be used (iv) users must have control over them and still be able to access the site if they do not consent.</paratext>
                </para>
              </division>
            </drafting.note>
          </clause>
          <clause id="a700623" numbering="none">
            <para>
              <paratext>Except for essential cookies, all cookies will expire after [EXPIRY PERIOD].</paratext>
            </para>
            <drafting.note id="a656675" jurisdiction="">
              <head align="left" preservecase="true">
                <headtext>Duration</headtext>
              </head>
              <division id="a000020" level="1">
                <para>
                  <paratext>
                    The ECJ's ruling in Planet49 held that Article 5(3) of the E-Privacy Directive "must be interpreted as meaning that the information that the service provider must give to a website user
                    <ital> </ital>
                    includes the duration of the operation of cookies and whether or not third parties may have access to those cookies" (see 
                    <link href="w-022-2794" style="ACTLinkPLCtoPLC">
                      <ital>Legal update, Preliminary ruling that cookie consent must be active and specific (ECJ)</ital>
                    </link>
                     and 
                    <link href="http://in-houseblog.practicallaw.com/crunch-time-for-cookies/" style="ACTLinkURL">
                      <ital>Blog, Crunch time for cookies?</ital>
                    </link>
                    ).
                  </paratext>
                </para>
                <para>
                  <paratext>
                    As different types of cookies may be kept for different lengths of time; the information could be provided in the table. However, depending on the type and number of cookies used, if practical, this information could be provided in the short-form notice instead (see 
                    <link href="7-517-2182" style="ACTLinkPLCtoPLC">
                      <ital>Standard clauses, Information about cookies: short-form notice (PECR, UK GDPR and DPA 2018) (UK)</ital>
                    </link>
                    ).
                  </paratext>
                </para>
              </division>
            </drafting.note>
          </clause>
          <clause id="a305141" numbering="none">
            <head align="left" preservecase="true">
              <headtext>If you have any questions or concerns about our use of cookies, please send us an email at [].</headtext>
            </head>
          </clause>
        </operative>
      </body>
      <rev.history>
        <rev.item>
          <rev.title>EDPB consultation on draft Guidelines 2/2023 on Technical Scope of Article (3) of E-Privacy Directive</rev.title>
          <rev.date>20231124</rev.date>
          <rev.author>Practical Law Data Protection</rev.author>
          <rev.body>
            <division id="a000001" level="1">
              <para>
                <paratext>
                  We have updated the 
                  <internal.reference refid="a224263">Drafting note, Review of E-Privacy Directive and Draft E-Privacy Regulation</internal.reference>
                   to include the EDPB's consultation on draft Guidelines 2/2023 on Technical Scope of Art. 5(3) of the E-Privacy Directive.
                </paratext>
              </para>
            </division>
          </rev.body>
        </rev.item>
        <rev.item>
          <rev.title>ICO warns UK's most visited websites of enforcement action if they fail to comply with data protection law</rev.title>
          <rev.date>20231124</rev.date>
          <rev.author>Practical Law Data Protection</rev.author>
          <rev.body>
            <division id="a000002" level="1">
              <para>
                <paratext>
                  We have updated the section 
                  <internal.reference refid="a869878">Drafting note, EDPB final report on work of Cookie Banner Taskforce and ICO approach</internal.reference>
                   to include the ICO writing to companies running many of the UK's most visited websites warning them that they face enforcement action if they fail to comply with data protection law, including giving visitors fair choices over whether or not to be tracked for personalised advertising.
                </paratext>
              </para>
            </division>
          </rev.body>
        </rev.item>
        <rev.item>
          <rev.title>Carry-over motion of the Data Protection and Digital Information Bill</rev.title>
          <rev.date>20231113</rev.date>
          <rev.author>Practical Law Data Protection</rev.author>
          <rev.body>
            <division id="a000003" level="1">
              <para>
                <paratext>
                  We have updated the drafting note 
                  <internal.reference refid="a752883">Drafting note, Data Protection and Digital Information Bill</internal.reference>
                   to include the carry-over motion of the Data Protection and Digital Information Bill announced in the King's Speech on 7 November 2023.
                </paratext>
              </para>
            </division>
          </rev.body>
        </rev.item>
        <rev.item>
          <rev.title>ICO and CMA's blog and position paper on harmful website designs and ICO's assessment of cookie banners</rev.title>
          <rev.date>20230830</rev.date>
          <rev.author>Practical Law Data Protection</rev.author>
          <rev.body>
            <division id="a000004" level="1">
              <para>
                <paratext>
                  We have updated the 
                  <internal.reference refid="a869878">Drafting note, EDPB final report on work of Cookie Banner Taskforce and ICO approach</internal.reference>
                   to include the ICO and Competition and Market Authority's blog and position paper calling for businesses to stop using harmful website designs to trick consumers into providing more personal data than they would like and the ICO's statement that it will be assessing the cookie banners of the most frequently used websites in the UK.
                </paratext>
              </para>
            </division>
          </rev.body>
        </rev.item>
        <rev.item>
          <rev.title>ICO's updated guidance on "likely to be accessed by children"</rev.title>
          <rev.date>20230830</rev.date>
          <rev.author>Practical Law Data Protection</rev.author>
          <rev.body>
            <division id="a000005" level="1">
              <para>
                <paratext>
                  We have updated the 
                  <internal.reference refid="a655744">Drafting note, Children</internal.reference>
                   to include the ICO's updated guidance on "likely to be accessed" by children.
                </paratext>
              </para>
            </division>
          </rev.body>
        </rev.item>
        <rev.item>
          <rev.title>EDPB's final Report of the work undertaken by the Cookie Banner Taskforce</rev.title>
          <rev.date>20230829</rev.date>
          <rev.author>Practical Law Data Protection</rev.author>
          <rev.body>
            <division id="a000006" level="1">
              <para>
                <paratext>
                  We have included a new 
                  <internal.reference refid="a869878">Drafting note, EDPB final report on work of Cookie Banner Taskforce and ICO approach</internal.reference>
                   on the EDPB's final Report of the work undertaken by the Cookie Banner Taskforce.
                </paratext>
              </para>
            </division>
          </rev.body>
        </rev.item>
        <rev.item>
          <rev.title>Data Protection and Digital Information Bill</rev.title>
          <rev.date>20230518</rev.date>
          <rev.author>Practical Law Data Protection</rev.author>
          <rev.body>
            <division id="a000007" level="1">
              <para>
                <paratext>
                  We have updated the 
                  <internal.reference refid="a752883">Drafting note, Data Protection and Digital Information Bill</internal.reference>
                   to include the reintroduction of the Bill into Parliament.
                  <ital> </ital>
                </paratext>
              </para>
            </division>
          </rev.body>
        </rev.item>
        <rev.item>
          <rev.title>DCMS consultation on the future of the UK data protection regime</rev.title>
          <rev.date>20220121</rev.date>
          <rev.author>Practical Law Data Protection</rev.author>
          <rev.body>
            <division id="a000008" level="1">
              <para>
                <paratext>
                  We have included a new 
                  <internal.reference refid="a752883">Drafting note, Data Protection and Digital Information Bill</internal.reference>
                  , to explain the proposals in relation to cookies and profiling outlined in the government's consultation paper "Data: a new direction".
                </paratext>
              </para>
            </division>
          </rev.body>
        </rev.item>
        <rev.item>
          <rev.title>End of UK-EU transition period</rev.title>
          <rev.date>20210630</rev.date>
          <rev.author>Practical Law Data Protection</rev.author>
          <rev.body>
            <division id="a000009" level="1">
              <para>
                <paratext>We have updated the abstract to reflect the end of the UK-EU transition period on 31 December 2020.</paratext>
              </para>
            </division>
          </rev.body>
        </rev.item>
        <rev.item>
          <rev.title>European Data Protection Board Guidelines 5/2020 on consent under Regulation 2016/679</rev.title>
          <rev.date>20200504</rev.date>
          <rev.author>Practical Law Data Protection</rev.author>
          <rev.body>
            <division id="a000010" level="1">
              <para>
                <paratext>We have updated this standard document to reflect the European Data Protection Board's (EDPB) guidelines (5/2020) on consent under Regulation 2016/679 which were adopted on 5 May 2020 and which provide more clarity on obtaining cookie consent.  They replace the Article 29 Working Party's guidelines on consent (WP259.01) which were adopted on 10 April 2018 and endorsed by the EDPB on 25 May 2018.</paratext>
              </para>
            </division>
          </rev.body>
        </rev.item>
        <rev.item>
          <rev.title>ECJ preliminary ruling in Planet49 (case C—673/17)</rev.title>
          <rev.date>20191016</rev.date>
          <rev.author>Practical Law Data Protection</rev.author>
          <rev.body>
            <division id="a000011" level="1">
              <para>
                <paratext/>
              </para>
            </division>
          </rev.body>
        </rev.item>
        <rev.item>
          <rev.title>Information Commissioner's Office Guidance on the use of cookies and similar technologies</rev.title>
          <rev.date>20190724</rev.date>
          <rev.author>Practical Law Data Protection</rev.author>
          <rev.body>
            <division id="a000012" level="1">
              <para>
                <paratext>We have updated this resource to reflect the Information Commissioner's Office new Guidance on the use of cookies and similar technologies, published 3 July 2019 which provides guidance on the EU General Data Protection Regulation ((EU) 2016/679) and the Privacy and Electronic Communications (EC Directive) Regulations 2003 (SI 2003/2426) (as amended).</paratext>
              </para>
            </division>
          </rev.body>
        </rev.item>
      </rev.history>
    </standard.doc>
  </n-docbody>
</n-document>
</file>

<file path=customXml/item4.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FB995566-46DE-4931-BD5C-5C47B4C8F40E}">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E28F85FD-984D-4DC1-97F7-42F144175E9C}">
  <ds:schemaRefs>
    <ds:schemaRef ds:uri="http://www.w3.org/2001/XMLSchema"/>
  </ds:schemaRefs>
</ds:datastoreItem>
</file>

<file path=customXml/itemProps4.xml><?xml version="1.0" encoding="utf-8"?>
<ds:datastoreItem xmlns:ds="http://schemas.openxmlformats.org/officeDocument/2006/customXml" ds:itemID="{001754C7-C275-46E5-B946-946CBB2A0173}">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Cookie policy</dc:title>
  <dc:creator>Padley, Helen (Legal)</dc:creator>
  <cp:lastModifiedBy>Sarah Williams</cp:lastModifiedBy>
  <cp:revision>12</cp:revision>
  <cp:lastPrinted>2019-04-25T16:46:00Z</cp:lastPrinted>
  <dcterms:created xsi:type="dcterms:W3CDTF">2024-05-14T12:00:00Z</dcterms:created>
  <dcterms:modified xsi:type="dcterms:W3CDTF">2024-05-14T13:18:00Z</dcterms:modified>
</cp:coreProperties>
</file>